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4" w:line="249" w:lineRule="auto"/>
        <w:ind w:left="10" w:right="717"/>
        <w:rPr>
          <w:rFonts w:ascii="Calibri" w:cs="Calibri" w:eastAsia="Calibri" w:hAnsi="Calibri"/>
          <w:b w:val="1"/>
          <w:color w:val="222222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32"/>
          <w:szCs w:val="32"/>
          <w:rtl w:val="0"/>
        </w:rPr>
        <w:t xml:space="preserve">Growing Your Business in the Digital Era:</w:t>
      </w:r>
    </w:p>
    <w:p w:rsidR="00000000" w:rsidDel="00000000" w:rsidP="00000000" w:rsidRDefault="00000000" w:rsidRPr="00000000" w14:paraId="00000002">
      <w:pPr>
        <w:spacing w:after="4" w:line="249" w:lineRule="auto"/>
        <w:ind w:left="10" w:right="7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32"/>
          <w:szCs w:val="32"/>
          <w:rtl w:val="0"/>
        </w:rPr>
        <w:t xml:space="preserve">A Course on Using Technology for Adventure Travel Tour Operators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Discover and Explore more about the customer journey - Resources: </w:t>
      </w:r>
    </w:p>
    <w:p w:rsidR="00000000" w:rsidDel="00000000" w:rsidP="00000000" w:rsidRDefault="00000000" w:rsidRPr="00000000" w14:paraId="00000006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Phocuswright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Phocuswright is a global travel market research authority that provides valuable insights into traveler behavior and tourism trends.</w:t>
      </w:r>
    </w:p>
    <w:p w:rsidR="00000000" w:rsidDel="00000000" w:rsidP="00000000" w:rsidRDefault="00000000" w:rsidRPr="00000000" w14:paraId="00000008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Skift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Skift is a media company that provides news, research, and marketing services for the travel industry.</w:t>
      </w:r>
    </w:p>
    <w:p w:rsidR="00000000" w:rsidDel="00000000" w:rsidP="00000000" w:rsidRDefault="00000000" w:rsidRPr="00000000" w14:paraId="0000000A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Think with Google: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Google's platform for industry trends and insights often has articles and reports on the customer journey in various industries, including travel.</w:t>
      </w:r>
    </w:p>
    <w:p w:rsidR="00000000" w:rsidDel="00000000" w:rsidP="00000000" w:rsidRDefault="00000000" w:rsidRPr="00000000" w14:paraId="0000000C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https://www.thinkwithgoogle.com/feature/travel-customer-journey-in-2020/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76" w:lineRule="auto"/>
        <w:rPr>
          <w:rFonts w:ascii="Calibri" w:cs="Calibri" w:eastAsia="Calibri" w:hAnsi="Calibri"/>
          <w:color w:val="0f0f0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Google.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f0f0f"/>
          <w:sz w:val="24"/>
          <w:szCs w:val="24"/>
          <w:rtl w:val="0"/>
        </w:rPr>
        <w:t xml:space="preserve">How do we decode the messy middle of the consumer purchase journey?</w:t>
      </w:r>
    </w:p>
    <w:p w:rsidR="00000000" w:rsidDel="00000000" w:rsidP="00000000" w:rsidRDefault="00000000" w:rsidRPr="00000000" w14:paraId="0000000F">
      <w:pPr>
        <w:shd w:fill="ffffff" w:val="clear"/>
        <w:spacing w:after="0" w:line="276" w:lineRule="auto"/>
        <w:rPr>
          <w:rFonts w:ascii="Calibri" w:cs="Calibri" w:eastAsia="Calibri" w:hAnsi="Calibri"/>
          <w:color w:val="0f0f0f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https://youtu.be/_xGmA7SeoqA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McKinsey &amp; Company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global management consulting firm often publishes industry-specific reports, including ones on customer journeys in the travel industry.</w:t>
      </w:r>
    </w:p>
    <w:p w:rsidR="00000000" w:rsidDel="00000000" w:rsidP="00000000" w:rsidRDefault="00000000" w:rsidRPr="00000000" w14:paraId="00000012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HubSpot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HubSpot offers a range of marketing, sales, and service software products, and its blog often has articles on customer journeys in various industries.</w:t>
      </w:r>
    </w:p>
    <w:p w:rsidR="00000000" w:rsidDel="00000000" w:rsidP="00000000" w:rsidRDefault="00000000" w:rsidRPr="00000000" w14:paraId="00000014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Forrester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Forrester is a market research company that provides advice on the potential impact of technology, including how it influences the customer journey in various industries.</w:t>
      </w:r>
    </w:p>
    <w:p w:rsidR="00000000" w:rsidDel="00000000" w:rsidP="00000000" w:rsidRDefault="00000000" w:rsidRPr="00000000" w14:paraId="00000016">
      <w:pPr>
        <w:shd w:fill="ffffff" w:val="clear"/>
        <w:spacing w:after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Harvard Business Review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(HBR):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HBR covers a wide range of topics, including the customer journey in the travel industry.</w:t>
      </w:r>
    </w:p>
    <w:p w:rsidR="00000000" w:rsidDel="00000000" w:rsidP="00000000" w:rsidRDefault="00000000" w:rsidRPr="00000000" w14:paraId="00000018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Nielsen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Nielsen is a global measurement and data analytics company that provides insights &amp; data about what people watch, listen to &amp; buy.</w:t>
      </w:r>
    </w:p>
    <w:p w:rsidR="00000000" w:rsidDel="00000000" w:rsidP="00000000" w:rsidRDefault="00000000" w:rsidRPr="00000000" w14:paraId="0000001A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hyperlink r:id="rId15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Insider Intelligence | eMarketer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eMarketer is a market research company that provides insights and trends related to digital marketing, media and commerce.</w:t>
      </w:r>
    </w:p>
    <w:p w:rsidR="00000000" w:rsidDel="00000000" w:rsidP="00000000" w:rsidRDefault="00000000" w:rsidRPr="00000000" w14:paraId="0000001C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hyperlink r:id="rId1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Econsultancy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Econsultancy offers insights, analysis, and practical resources for digital marketing, including guides on customer journey mapping.</w:t>
      </w:r>
    </w:p>
    <w:p w:rsidR="00000000" w:rsidDel="00000000" w:rsidP="00000000" w:rsidRDefault="00000000" w:rsidRPr="00000000" w14:paraId="0000001E">
      <w:pPr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76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Please note that while these resources cover a broad range of topics, they often feature articles or reports on the customer journey in the travel industry.</w:t>
      </w:r>
    </w:p>
    <w:p w:rsidR="00000000" w:rsidDel="00000000" w:rsidP="00000000" w:rsidRDefault="00000000" w:rsidRPr="00000000" w14:paraId="00000020">
      <w:pPr>
        <w:widowControl w:val="0"/>
        <w:shd w:fill="ffffff" w:val="clear"/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tabs>
          <w:tab w:val="left" w:leader="none" w:pos="576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5840" w:w="12240" w:orient="portrait"/>
      <w:pgMar w:bottom="1800" w:top="2160" w:left="1080" w:right="117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spacing w:after="720" w:lineRule="auto"/>
      <w:jc w:val="center"/>
      <w:rPr>
        <w:color w:val="cccccc"/>
        <w:sz w:val="16"/>
        <w:szCs w:val="16"/>
      </w:rPr>
    </w:pPr>
    <w:r w:rsidDel="00000000" w:rsidR="00000000" w:rsidRPr="00000000">
      <w:rPr>
        <w:color w:val="cccccc"/>
        <w:sz w:val="16"/>
        <w:szCs w:val="16"/>
        <w:rtl w:val="0"/>
      </w:rPr>
      <w:t xml:space="preserve">© Adventure Travel Trade Association. All rights reserved.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shd w:fill="auto" w:val="clear"/>
      <w:spacing w:after="0" w:line="276" w:lineRule="auto"/>
      <w:rPr>
        <w:rFonts w:ascii="Lora" w:cs="Lora" w:eastAsia="Lora" w:hAnsi="Lora"/>
        <w:color w:val="302b2c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2225.0" w:type="dxa"/>
      <w:jc w:val="center"/>
      <w:tblLayout w:type="fixed"/>
      <w:tblLook w:val="0600"/>
    </w:tblPr>
    <w:tblGrid>
      <w:gridCol w:w="12225"/>
      <w:tblGridChange w:id="0">
        <w:tblGrid>
          <w:gridCol w:w="12225"/>
        </w:tblGrid>
      </w:tblGridChange>
    </w:tblGrid>
    <w:tr>
      <w:trPr>
        <w:cantSplit w:val="0"/>
        <w:trHeight w:val="2880" w:hRule="atLeast"/>
        <w:tblHeader w:val="0"/>
      </w:trPr>
      <w:tc>
        <w:tcPr>
          <w:tcBorders>
            <w:top w:color="048cb9" w:space="0" w:sz="48" w:val="single"/>
            <w:left w:color="048cb9" w:space="0" w:sz="48" w:val="single"/>
            <w:bottom w:color="048cb9" w:space="0" w:sz="48" w:val="single"/>
            <w:right w:color="048cb9" w:space="0" w:sz="48" w:val="single"/>
          </w:tcBorders>
          <w:shd w:fill="048cb9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3">
          <w:pPr>
            <w:pageBreakBefore w:val="0"/>
            <w:widowControl w:val="0"/>
            <w:shd w:fill="auto" w:val="clear"/>
            <w:spacing w:after="0" w:line="240" w:lineRule="auto"/>
            <w:jc w:val="center"/>
            <w:rPr>
              <w:rFonts w:ascii="Lora" w:cs="Lora" w:eastAsia="Lora" w:hAnsi="Lora"/>
              <w:color w:val="302b2c"/>
              <w:sz w:val="20"/>
              <w:szCs w:val="20"/>
            </w:rPr>
          </w:pPr>
          <w:r w:rsidDel="00000000" w:rsidR="00000000" w:rsidRPr="00000000">
            <w:rPr>
              <w:rFonts w:ascii="Lora" w:cs="Lora" w:eastAsia="Lora" w:hAnsi="Lora"/>
              <w:color w:val="302b2c"/>
              <w:sz w:val="20"/>
              <w:szCs w:val="20"/>
            </w:rPr>
            <w:drawing>
              <wp:inline distB="114300" distT="114300" distL="114300" distR="114300">
                <wp:extent cx="2682408" cy="130968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2408" cy="13096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pageBreakBefore w:val="0"/>
            <w:widowControl w:val="0"/>
            <w:shd w:fill="auto" w:val="clear"/>
            <w:spacing w:after="0" w:line="240" w:lineRule="auto"/>
            <w:jc w:val="center"/>
            <w:rPr>
              <w:rFonts w:ascii="Lora" w:cs="Lora" w:eastAsia="Lora" w:hAnsi="Lora"/>
              <w:color w:val="ffffff"/>
              <w:sz w:val="20"/>
              <w:szCs w:val="20"/>
            </w:rPr>
          </w:pPr>
          <w:r w:rsidDel="00000000" w:rsidR="00000000" w:rsidRPr="00000000">
            <w:rPr>
              <w:rFonts w:ascii="Lora" w:cs="Lora" w:eastAsia="Lora" w:hAnsi="Lora"/>
              <w:color w:val="ffffff"/>
              <w:sz w:val="20"/>
              <w:szCs w:val="20"/>
              <w:rtl w:val="0"/>
            </w:rPr>
            <w:t xml:space="preserve">-</w:t>
          </w:r>
        </w:p>
        <w:p w:rsidR="00000000" w:rsidDel="00000000" w:rsidP="00000000" w:rsidRDefault="00000000" w:rsidRPr="00000000" w14:paraId="00000025">
          <w:pPr>
            <w:pStyle w:val="Title"/>
            <w:widowControl w:val="0"/>
            <w:shd w:fill="auto" w:val="clear"/>
            <w:spacing w:after="60" w:before="0" w:line="240" w:lineRule="auto"/>
            <w:jc w:val="center"/>
            <w:rPr>
              <w:rFonts w:ascii="Poppins Black" w:cs="Poppins Black" w:eastAsia="Poppins Black" w:hAnsi="Poppins Black"/>
              <w:b w:val="0"/>
              <w:color w:val="ffffff"/>
              <w:sz w:val="60"/>
              <w:szCs w:val="60"/>
            </w:rPr>
          </w:pPr>
          <w:bookmarkStart w:colFirst="0" w:colLast="0" w:name="_jku2i12ljjxe" w:id="0"/>
          <w:bookmarkEnd w:id="0"/>
          <w:r w:rsidDel="00000000" w:rsidR="00000000" w:rsidRPr="00000000">
            <w:rPr>
              <w:rFonts w:ascii="Poppins Black" w:cs="Poppins Black" w:eastAsia="Poppins Black" w:hAnsi="Poppins Black"/>
              <w:b w:val="0"/>
              <w:color w:val="ffffff"/>
              <w:sz w:val="60"/>
              <w:szCs w:val="60"/>
              <w:rtl w:val="0"/>
            </w:rPr>
            <w:t xml:space="preserve">Resources for the Customer Journey </w:t>
          </w:r>
        </w:p>
        <w:p w:rsidR="00000000" w:rsidDel="00000000" w:rsidP="00000000" w:rsidRDefault="00000000" w:rsidRPr="00000000" w14:paraId="00000026">
          <w:pPr>
            <w:pageBreakBefore w:val="0"/>
            <w:widowControl w:val="0"/>
            <w:shd w:fill="auto" w:val="clear"/>
            <w:spacing w:after="0" w:line="240" w:lineRule="auto"/>
            <w:jc w:val="center"/>
            <w:rPr>
              <w:rFonts w:ascii="Lora" w:cs="Lora" w:eastAsia="Lora" w:hAnsi="Lora"/>
              <w:color w:val="302b2c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pageBreakBefore w:val="0"/>
      <w:shd w:fill="auto" w:val="clear"/>
      <w:spacing w:after="0" w:line="276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it-IT"/>
      </w:rPr>
    </w:rPrDefault>
    <w:pPrDefault>
      <w:pPr>
        <w:shd w:fill="ffffff" w:val="clear"/>
        <w:tabs>
          <w:tab w:val="left" w:leader="none" w:pos="5760"/>
        </w:tabs>
        <w:spacing w:after="1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hubspot.com/" TargetMode="External"/><Relationship Id="rId10" Type="http://schemas.openxmlformats.org/officeDocument/2006/relationships/hyperlink" Target="https://www.mckinsey.com/" TargetMode="External"/><Relationship Id="rId13" Type="http://schemas.openxmlformats.org/officeDocument/2006/relationships/hyperlink" Target="https://hbr.org/" TargetMode="External"/><Relationship Id="rId12" Type="http://schemas.openxmlformats.org/officeDocument/2006/relationships/hyperlink" Target="https://www.forrester.com/bol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_xGmA7SeoqA" TargetMode="External"/><Relationship Id="rId15" Type="http://schemas.openxmlformats.org/officeDocument/2006/relationships/hyperlink" Target="https://www.insiderintelligence.com/" TargetMode="External"/><Relationship Id="rId14" Type="http://schemas.openxmlformats.org/officeDocument/2006/relationships/hyperlink" Target="https://www.nielsen.com/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econsultancy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hocuswright.com/" TargetMode="External"/><Relationship Id="rId18" Type="http://schemas.openxmlformats.org/officeDocument/2006/relationships/footer" Target="footer1.xml"/><Relationship Id="rId7" Type="http://schemas.openxmlformats.org/officeDocument/2006/relationships/hyperlink" Target="https://skift.com/" TargetMode="External"/><Relationship Id="rId8" Type="http://schemas.openxmlformats.org/officeDocument/2006/relationships/hyperlink" Target="https://www.thinkwithgoogle.com/feature/travel-customer-journey-in-2020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0" Type="http://schemas.openxmlformats.org/officeDocument/2006/relationships/font" Target="fonts/PoppinsBlack-boldItalic.ttf"/><Relationship Id="rId9" Type="http://schemas.openxmlformats.org/officeDocument/2006/relationships/font" Target="fonts/PoppinsBlack-bold.ttf"/><Relationship Id="rId5" Type="http://schemas.openxmlformats.org/officeDocument/2006/relationships/font" Target="fonts/Lora-regular.ttf"/><Relationship Id="rId6" Type="http://schemas.openxmlformats.org/officeDocument/2006/relationships/font" Target="fonts/Lora-bold.ttf"/><Relationship Id="rId7" Type="http://schemas.openxmlformats.org/officeDocument/2006/relationships/font" Target="fonts/Lora-italic.ttf"/><Relationship Id="rId8" Type="http://schemas.openxmlformats.org/officeDocument/2006/relationships/font" Target="fonts/Lo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