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F777" w14:textId="60D8EE2A" w:rsidR="0080731E" w:rsidRDefault="0080731E" w:rsidP="0080731E">
      <w:pPr>
        <w:rPr>
          <w:rFonts w:ascii="Calibri" w:hAnsi="Calibri" w:cs="Calibri"/>
          <w:color w:val="000000"/>
          <w:shd w:val="clear" w:color="auto" w:fill="FFFF00"/>
        </w:rPr>
      </w:pPr>
      <w:r>
        <w:rPr>
          <w:rFonts w:ascii="Calibri" w:hAnsi="Calibri" w:cs="Calibri"/>
          <w:color w:val="000000"/>
          <w:shd w:val="clear" w:color="auto" w:fill="FFFF00"/>
        </w:rPr>
        <w:t>SBA- PPP Updates. 4.27.20</w:t>
      </w:r>
    </w:p>
    <w:p w14:paraId="26AB49B0" w14:textId="77777777" w:rsidR="0080731E" w:rsidRDefault="0080731E" w:rsidP="0080731E">
      <w:pPr>
        <w:rPr>
          <w:rFonts w:ascii="Calibri" w:hAnsi="Calibri" w:cs="Calibri"/>
          <w:color w:val="000000"/>
          <w:shd w:val="clear" w:color="auto" w:fill="FFFF00"/>
        </w:rPr>
      </w:pPr>
    </w:p>
    <w:p w14:paraId="1741F9B0" w14:textId="203C290D" w:rsidR="0080731E" w:rsidRDefault="0080731E" w:rsidP="0080731E">
      <w:pPr>
        <w:rPr>
          <w:rFonts w:ascii="Calibri" w:hAnsi="Calibri" w:cs="Calibri"/>
          <w:color w:val="000000"/>
          <w:shd w:val="clear" w:color="auto" w:fill="FFFF00"/>
        </w:rPr>
      </w:pPr>
      <w:r w:rsidRPr="0080731E">
        <w:rPr>
          <w:rFonts w:ascii="Calibri" w:hAnsi="Calibri" w:cs="Calibri"/>
          <w:color w:val="000000"/>
          <w:shd w:val="clear" w:color="auto" w:fill="FFFF00"/>
        </w:rPr>
        <w:t>Some reading material for you in preparation of the launching of PPP2 at 10:30 AM Eastern Monday morning.</w:t>
      </w:r>
    </w:p>
    <w:p w14:paraId="3EFF9CF5" w14:textId="6F35368C" w:rsidR="0080731E" w:rsidRDefault="0080731E" w:rsidP="0080731E">
      <w:pPr>
        <w:rPr>
          <w:rFonts w:ascii="Calibri" w:hAnsi="Calibri" w:cs="Calibri"/>
          <w:color w:val="000000"/>
          <w:shd w:val="clear" w:color="auto" w:fill="FFFF00"/>
        </w:rPr>
      </w:pPr>
    </w:p>
    <w:p w14:paraId="677A8700" w14:textId="77777777" w:rsidR="0080731E" w:rsidRPr="0080731E" w:rsidRDefault="0080731E" w:rsidP="0080731E">
      <w:pPr>
        <w:rPr>
          <w:rFonts w:ascii="Calibri" w:hAnsi="Calibri" w:cs="Calibri"/>
          <w:color w:val="000000"/>
          <w:sz w:val="22"/>
          <w:szCs w:val="22"/>
        </w:rPr>
      </w:pPr>
    </w:p>
    <w:p w14:paraId="59149E24" w14:textId="76F49867" w:rsidR="0080731E" w:rsidRPr="0080731E" w:rsidRDefault="0080731E" w:rsidP="0080731E">
      <w:pPr>
        <w:rPr>
          <w:rFonts w:ascii="Calibri" w:hAnsi="Calibri" w:cs="Calibri"/>
          <w:color w:val="000000"/>
          <w:sz w:val="28"/>
          <w:szCs w:val="28"/>
          <w:u w:val="single"/>
        </w:rPr>
      </w:pPr>
      <w:r w:rsidRPr="0080731E">
        <w:rPr>
          <w:rFonts w:ascii="Calibri" w:hAnsi="Calibri" w:cs="Calibri"/>
          <w:color w:val="000000"/>
          <w:sz w:val="28"/>
          <w:szCs w:val="28"/>
          <w:u w:val="single"/>
        </w:rPr>
        <w:t>1</w:t>
      </w:r>
      <w:r w:rsidRPr="0080731E">
        <w:rPr>
          <w:rFonts w:ascii="Calibri" w:hAnsi="Calibri" w:cs="Calibri"/>
          <w:color w:val="000000"/>
          <w:sz w:val="28"/>
          <w:szCs w:val="28"/>
          <w:u w:val="single"/>
          <w:vertAlign w:val="superscript"/>
        </w:rPr>
        <w:t>st</w:t>
      </w:r>
      <w:r w:rsidRPr="0080731E">
        <w:rPr>
          <w:rFonts w:ascii="Calibri" w:hAnsi="Calibri" w:cs="Calibri"/>
          <w:color w:val="000000"/>
          <w:sz w:val="28"/>
          <w:szCs w:val="28"/>
          <w:u w:val="single"/>
        </w:rPr>
        <w:t xml:space="preserve"> Update</w:t>
      </w:r>
      <w:r w:rsidRPr="0080731E">
        <w:rPr>
          <w:rFonts w:ascii="Calibri" w:hAnsi="Calibri" w:cs="Calibri"/>
          <w:color w:val="000000"/>
          <w:sz w:val="28"/>
          <w:szCs w:val="28"/>
          <w:u w:val="single"/>
        </w:rPr>
        <w:t> </w:t>
      </w:r>
    </w:p>
    <w:p w14:paraId="0703B6AE" w14:textId="77777777" w:rsidR="0080731E" w:rsidRPr="0080731E" w:rsidRDefault="0080731E" w:rsidP="0080731E">
      <w:pPr>
        <w:numPr>
          <w:ilvl w:val="0"/>
          <w:numId w:val="1"/>
        </w:numPr>
        <w:ind w:left="360"/>
        <w:rPr>
          <w:rFonts w:ascii="Calibri" w:hAnsi="Calibri" w:cs="Calibri"/>
          <w:color w:val="000000"/>
          <w:sz w:val="22"/>
          <w:szCs w:val="22"/>
        </w:rPr>
      </w:pPr>
      <w:r w:rsidRPr="0080731E">
        <w:rPr>
          <w:rFonts w:ascii="Calibri" w:hAnsi="Calibri" w:cs="Calibri"/>
          <w:color w:val="000000"/>
        </w:rPr>
        <w:t>Here is a link to updated FAQ's on SBA website:</w:t>
      </w:r>
    </w:p>
    <w:p w14:paraId="3483DE65" w14:textId="77777777" w:rsidR="0080731E" w:rsidRPr="0080731E" w:rsidRDefault="0080731E" w:rsidP="0080731E">
      <w:pPr>
        <w:rPr>
          <w:rFonts w:ascii="Calibri" w:hAnsi="Calibri" w:cs="Calibri"/>
          <w:color w:val="000000"/>
          <w:sz w:val="22"/>
          <w:szCs w:val="22"/>
        </w:rPr>
      </w:pPr>
      <w:hyperlink r:id="rId5" w:tgtFrame="_blank" w:tooltip="This external link will open in a new window" w:history="1">
        <w:r w:rsidRPr="0080731E">
          <w:rPr>
            <w:rFonts w:ascii="Calibri" w:hAnsi="Calibri" w:cs="Calibri"/>
            <w:color w:val="0000FF"/>
            <w:u w:val="single"/>
          </w:rPr>
          <w:t>https://content.sba.gov/sites/default/files/2020-04/Paycheck-Protection-Program-Frequently-Asked-Questions_04%2026%2020.pdf</w:t>
        </w:r>
      </w:hyperlink>
    </w:p>
    <w:p w14:paraId="41F79079" w14:textId="77777777" w:rsidR="0080731E" w:rsidRPr="0080731E" w:rsidRDefault="0080731E" w:rsidP="0080731E">
      <w:pPr>
        <w:rPr>
          <w:rFonts w:ascii="Calibri" w:hAnsi="Calibri" w:cs="Calibri"/>
          <w:color w:val="000000"/>
          <w:sz w:val="22"/>
          <w:szCs w:val="22"/>
        </w:rPr>
      </w:pPr>
      <w:r w:rsidRPr="0080731E">
        <w:rPr>
          <w:rFonts w:ascii="Calibri" w:hAnsi="Calibri" w:cs="Calibri"/>
          <w:color w:val="000000"/>
        </w:rPr>
        <w:t> </w:t>
      </w:r>
    </w:p>
    <w:p w14:paraId="516E4C3F" w14:textId="77777777" w:rsidR="0080731E" w:rsidRPr="0080731E" w:rsidRDefault="0080731E" w:rsidP="0080731E">
      <w:pPr>
        <w:rPr>
          <w:rFonts w:ascii="Calibri" w:hAnsi="Calibri" w:cs="Calibri"/>
          <w:color w:val="000000"/>
          <w:sz w:val="22"/>
          <w:szCs w:val="22"/>
        </w:rPr>
      </w:pPr>
      <w:r w:rsidRPr="0080731E">
        <w:rPr>
          <w:rFonts w:ascii="Calibri" w:hAnsi="Calibri" w:cs="Calibri"/>
          <w:color w:val="000000"/>
        </w:rPr>
        <w:t> </w:t>
      </w:r>
    </w:p>
    <w:p w14:paraId="0F6FE202" w14:textId="77777777" w:rsidR="0080731E" w:rsidRPr="0080731E" w:rsidRDefault="0080731E" w:rsidP="0080731E">
      <w:pPr>
        <w:rPr>
          <w:rFonts w:ascii="Calibri" w:hAnsi="Calibri" w:cs="Calibri"/>
          <w:color w:val="000000"/>
          <w:sz w:val="22"/>
          <w:szCs w:val="22"/>
        </w:rPr>
      </w:pPr>
      <w:r w:rsidRPr="0080731E">
        <w:rPr>
          <w:rFonts w:ascii="Calibri" w:hAnsi="Calibri" w:cs="Calibri"/>
          <w:b/>
          <w:bCs/>
          <w:color w:val="000000"/>
          <w:u w:val="single"/>
        </w:rPr>
        <w:t>2. Memo from Bill Briggs - Sunday, April 26, 2020</w:t>
      </w:r>
    </w:p>
    <w:p w14:paraId="523E2764"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201F1E"/>
          <w:sz w:val="18"/>
          <w:szCs w:val="18"/>
        </w:rPr>
        <w:t>Please share this information with your networks.  </w:t>
      </w:r>
    </w:p>
    <w:p w14:paraId="3579F7CD"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000000"/>
          <w:sz w:val="28"/>
          <w:szCs w:val="28"/>
        </w:rPr>
        <w:t> </w:t>
      </w:r>
    </w:p>
    <w:p w14:paraId="23245076"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b/>
          <w:bCs/>
          <w:color w:val="FF0000"/>
        </w:rPr>
        <w:t>PPP Lending Operations Update – Sunday, April 26, 2020</w:t>
      </w:r>
    </w:p>
    <w:p w14:paraId="432F824E"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201F1E"/>
        </w:rPr>
        <w:t>Due to the unprecedented demand for Paycheck Protection Program loans by the nation’s small businesses and to ensure equitable access and system integrity, SBA and Treasury are taking prudent and reasonable steps to protect SBA’s loan systems for the next phase of PPP loan processing.</w:t>
      </w:r>
    </w:p>
    <w:p w14:paraId="10A6B019"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201F1E"/>
        </w:rPr>
        <w:t>SBA and Treasury are implementing the following measures:</w:t>
      </w:r>
    </w:p>
    <w:p w14:paraId="65BE66AD" w14:textId="77777777" w:rsidR="0080731E" w:rsidRPr="0080731E" w:rsidRDefault="0080731E" w:rsidP="0080731E">
      <w:pPr>
        <w:numPr>
          <w:ilvl w:val="0"/>
          <w:numId w:val="2"/>
        </w:numPr>
        <w:shd w:val="clear" w:color="auto" w:fill="FFFFFF"/>
        <w:spacing w:after="240"/>
        <w:rPr>
          <w:rFonts w:ascii="Calibri" w:hAnsi="Calibri" w:cs="Calibri"/>
          <w:color w:val="201F1E"/>
          <w:sz w:val="22"/>
          <w:szCs w:val="22"/>
        </w:rPr>
      </w:pPr>
      <w:r w:rsidRPr="0080731E">
        <w:rPr>
          <w:rFonts w:ascii="Source Sans Pro" w:hAnsi="Source Sans Pro" w:cs="Calibri"/>
          <w:color w:val="201F1E"/>
        </w:rPr>
        <w:t>Pacing the number of loans processed in the E-Tran system for participating lenders when processing resumes on Monday, April 27, 2020 at 10:30 am EDT;</w:t>
      </w:r>
    </w:p>
    <w:p w14:paraId="5475F282" w14:textId="77777777" w:rsidR="0080731E" w:rsidRPr="0080731E" w:rsidRDefault="0080731E" w:rsidP="0080731E">
      <w:pPr>
        <w:numPr>
          <w:ilvl w:val="0"/>
          <w:numId w:val="3"/>
        </w:numPr>
        <w:shd w:val="clear" w:color="auto" w:fill="FFFFFF"/>
        <w:spacing w:after="240"/>
        <w:rPr>
          <w:rFonts w:ascii="Calibri" w:hAnsi="Calibri" w:cs="Calibri"/>
          <w:color w:val="201F1E"/>
          <w:sz w:val="22"/>
          <w:szCs w:val="22"/>
        </w:rPr>
      </w:pPr>
      <w:r w:rsidRPr="0080731E">
        <w:rPr>
          <w:rFonts w:ascii="Source Sans Pro" w:hAnsi="Source Sans Pro" w:cs="Calibri"/>
          <w:color w:val="201F1E"/>
        </w:rPr>
        <w:t>Instituting a maximum dollar amount at 10% of PPP funding authority that any lending institution will be able to originate, exclusive of the additional $60 billion preserved for lenders with assets under $50 billion (i.e. $60 billion cap);</w:t>
      </w:r>
    </w:p>
    <w:p w14:paraId="4BE54223" w14:textId="77777777" w:rsidR="0080731E" w:rsidRPr="0080731E" w:rsidRDefault="0080731E" w:rsidP="0080731E">
      <w:pPr>
        <w:numPr>
          <w:ilvl w:val="0"/>
          <w:numId w:val="3"/>
        </w:numPr>
        <w:shd w:val="clear" w:color="auto" w:fill="FFFFFF"/>
        <w:spacing w:after="240"/>
        <w:rPr>
          <w:rFonts w:ascii="Calibri" w:hAnsi="Calibri" w:cs="Calibri"/>
          <w:color w:val="201F1E"/>
          <w:sz w:val="22"/>
          <w:szCs w:val="22"/>
        </w:rPr>
      </w:pPr>
      <w:r w:rsidRPr="0080731E">
        <w:rPr>
          <w:rFonts w:ascii="Source Sans Pro" w:hAnsi="Source Sans Pro" w:cs="Calibri"/>
          <w:color w:val="201F1E"/>
        </w:rPr>
        <w:t>Implementing operational standards to ensure that lenders access PPP funds based on their asset size;</w:t>
      </w:r>
    </w:p>
    <w:p w14:paraId="35271B8C" w14:textId="77777777" w:rsidR="0080731E" w:rsidRPr="0080731E" w:rsidRDefault="0080731E" w:rsidP="0080731E">
      <w:pPr>
        <w:numPr>
          <w:ilvl w:val="0"/>
          <w:numId w:val="3"/>
        </w:numPr>
        <w:shd w:val="clear" w:color="auto" w:fill="FFFFFF"/>
        <w:spacing w:after="240"/>
        <w:rPr>
          <w:rFonts w:ascii="Calibri" w:hAnsi="Calibri" w:cs="Calibri"/>
          <w:color w:val="201F1E"/>
          <w:sz w:val="22"/>
          <w:szCs w:val="22"/>
        </w:rPr>
      </w:pPr>
      <w:r w:rsidRPr="0080731E">
        <w:rPr>
          <w:rFonts w:ascii="Source Sans Pro" w:hAnsi="Source Sans Pro" w:cs="Calibri"/>
          <w:color w:val="201F1E"/>
        </w:rPr>
        <w:t>Ensuring the Paycheck Protection Program continues to operate on a first-come, first-serve basis so that every small business has access to PPP loans to sustain their business and retain their employees; and</w:t>
      </w:r>
    </w:p>
    <w:p w14:paraId="385893BD" w14:textId="77777777" w:rsidR="0080731E" w:rsidRPr="0080731E" w:rsidRDefault="0080731E" w:rsidP="0080731E">
      <w:pPr>
        <w:numPr>
          <w:ilvl w:val="0"/>
          <w:numId w:val="4"/>
        </w:numPr>
        <w:shd w:val="clear" w:color="auto" w:fill="FFFFFF"/>
        <w:rPr>
          <w:rFonts w:ascii="Calibri" w:hAnsi="Calibri" w:cs="Calibri"/>
          <w:color w:val="201F1E"/>
          <w:sz w:val="22"/>
          <w:szCs w:val="22"/>
        </w:rPr>
      </w:pPr>
      <w:r w:rsidRPr="0080731E">
        <w:rPr>
          <w:rFonts w:ascii="Source Sans Pro" w:hAnsi="Source Sans Pro" w:cs="Calibri"/>
          <w:color w:val="201F1E"/>
        </w:rPr>
        <w:t>Issuing the following guidance (</w:t>
      </w:r>
      <w:hyperlink r:id="rId6" w:tgtFrame="_blank" w:tooltip="This external link will open in a new window" w:history="1">
        <w:r w:rsidRPr="0080731E">
          <w:rPr>
            <w:rFonts w:ascii="Source Sans Pro" w:hAnsi="Source Sans Pro" w:cs="Calibri"/>
            <w:color w:val="0000FF"/>
            <w:u w:val="single"/>
          </w:rPr>
          <w:t>https://content.sba.gov/document%E2%80%8C/policy-guidance%E2%80%8C-%E2%80%8C-guidance-memo-xml-file-submission-process-paycheck-protection-program-ppp)</w:t>
        </w:r>
      </w:hyperlink>
      <w:r w:rsidRPr="0080731E">
        <w:rPr>
          <w:rFonts w:ascii="Source Sans Pro" w:hAnsi="Source Sans Pro" w:cs="Calibri"/>
          <w:color w:val="201F1E"/>
        </w:rPr>
        <w:t> </w:t>
      </w:r>
      <w:r w:rsidRPr="0080731E">
        <w:rPr>
          <w:rFonts w:ascii="Source Sans Pro" w:hAnsi="Source Sans Pro" w:cs="Calibri"/>
          <w:color w:val="201F1E"/>
          <w:sz w:val="22"/>
          <w:szCs w:val="22"/>
        </w:rPr>
        <w:t>for lenders who have received a significant amount of loan applications.</w:t>
      </w:r>
    </w:p>
    <w:p w14:paraId="3928973F" w14:textId="77777777" w:rsidR="0080731E" w:rsidRPr="0080731E" w:rsidRDefault="0080731E" w:rsidP="0080731E">
      <w:pPr>
        <w:numPr>
          <w:ilvl w:val="0"/>
          <w:numId w:val="4"/>
        </w:numPr>
        <w:shd w:val="clear" w:color="auto" w:fill="FFFFFF"/>
        <w:rPr>
          <w:rFonts w:ascii="Calibri" w:hAnsi="Calibri" w:cs="Calibri"/>
          <w:color w:val="201F1E"/>
          <w:sz w:val="22"/>
          <w:szCs w:val="22"/>
        </w:rPr>
      </w:pPr>
      <w:r w:rsidRPr="0080731E">
        <w:rPr>
          <w:rFonts w:ascii="Source Sans Pro" w:hAnsi="Source Sans Pro" w:cs="Calibri"/>
          <w:color w:val="201F1E"/>
        </w:rPr>
        <w:t>SBA and Treasury value all lenders and their small business customers and will continue to provide updates to the PPP lending community as loan processing resumes this week.</w:t>
      </w:r>
    </w:p>
    <w:p w14:paraId="653F20B4"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201F1E"/>
          <w:sz w:val="18"/>
          <w:szCs w:val="18"/>
        </w:rPr>
        <w:t> </w:t>
      </w:r>
    </w:p>
    <w:p w14:paraId="41D68AE8" w14:textId="77777777" w:rsidR="0080731E" w:rsidRPr="0080731E" w:rsidRDefault="0080731E" w:rsidP="0080731E">
      <w:pPr>
        <w:shd w:val="clear" w:color="auto" w:fill="FFFFFF"/>
        <w:rPr>
          <w:rFonts w:ascii="Tahoma" w:hAnsi="Tahoma" w:cs="Tahoma"/>
          <w:color w:val="000000"/>
          <w:sz w:val="18"/>
          <w:szCs w:val="18"/>
        </w:rPr>
      </w:pPr>
      <w:r w:rsidRPr="0080731E">
        <w:rPr>
          <w:rFonts w:ascii="Tahoma" w:hAnsi="Tahoma" w:cs="Tahoma"/>
          <w:color w:val="201F1E"/>
          <w:sz w:val="18"/>
          <w:szCs w:val="18"/>
        </w:rPr>
        <w:t> </w:t>
      </w:r>
    </w:p>
    <w:p w14:paraId="5E9BC73D" w14:textId="77777777" w:rsidR="0080731E" w:rsidRPr="0080731E" w:rsidRDefault="0080731E" w:rsidP="0080731E">
      <w:pPr>
        <w:shd w:val="clear" w:color="auto" w:fill="FFFFFF"/>
        <w:spacing w:after="240" w:line="259" w:lineRule="atLeast"/>
        <w:ind w:left="360"/>
        <w:rPr>
          <w:rFonts w:ascii="Tahoma" w:hAnsi="Tahoma" w:cs="Tahoma"/>
          <w:color w:val="000000"/>
          <w:sz w:val="18"/>
          <w:szCs w:val="18"/>
        </w:rPr>
      </w:pPr>
      <w:r w:rsidRPr="0080731E">
        <w:rPr>
          <w:rFonts w:ascii="Arial" w:hAnsi="Arial" w:cs="Arial"/>
          <w:color w:val="000000"/>
          <w:sz w:val="23"/>
          <w:szCs w:val="23"/>
        </w:rPr>
        <w:lastRenderedPageBreak/>
        <w:t>Bill Briggs</w:t>
      </w:r>
      <w:r w:rsidRPr="0080731E">
        <w:rPr>
          <w:rFonts w:ascii="Arial" w:hAnsi="Arial" w:cs="Arial"/>
          <w:color w:val="000000"/>
          <w:sz w:val="23"/>
          <w:szCs w:val="23"/>
        </w:rPr>
        <w:br/>
        <w:t>Deputy Associate Administrator, Office of Capital Access</w:t>
      </w:r>
      <w:r w:rsidRPr="0080731E">
        <w:rPr>
          <w:rFonts w:ascii="Arial" w:hAnsi="Arial" w:cs="Arial"/>
          <w:color w:val="000000"/>
          <w:sz w:val="23"/>
          <w:szCs w:val="23"/>
        </w:rPr>
        <w:br/>
      </w:r>
      <w:r w:rsidRPr="0080731E">
        <w:rPr>
          <w:rFonts w:ascii="Arial" w:hAnsi="Arial" w:cs="Arial"/>
          <w:b/>
          <w:bCs/>
          <w:color w:val="000000"/>
          <w:sz w:val="23"/>
          <w:szCs w:val="23"/>
        </w:rPr>
        <w:t>U.S. Small Business Administration</w:t>
      </w:r>
    </w:p>
    <w:p w14:paraId="4E59412A" w14:textId="77777777" w:rsidR="002F42CE" w:rsidRDefault="002F42CE" w:rsidP="0080731E">
      <w:pPr>
        <w:rPr>
          <w:rFonts w:ascii="Arial" w:hAnsi="Arial" w:cs="Arial"/>
          <w:color w:val="000000"/>
          <w:sz w:val="28"/>
          <w:szCs w:val="28"/>
          <w:u w:val="single"/>
        </w:rPr>
      </w:pPr>
    </w:p>
    <w:p w14:paraId="7DC9DCDE" w14:textId="22D4875A" w:rsidR="0080731E" w:rsidRPr="0080731E" w:rsidRDefault="0080731E" w:rsidP="0080731E">
      <w:pPr>
        <w:rPr>
          <w:rFonts w:ascii="Arial" w:hAnsi="Arial" w:cs="Arial"/>
          <w:color w:val="000000"/>
          <w:sz w:val="28"/>
          <w:szCs w:val="28"/>
          <w:u w:val="single"/>
        </w:rPr>
      </w:pPr>
      <w:r w:rsidRPr="0080731E">
        <w:rPr>
          <w:rFonts w:ascii="Arial" w:hAnsi="Arial" w:cs="Arial"/>
          <w:color w:val="000000"/>
          <w:sz w:val="28"/>
          <w:szCs w:val="28"/>
          <w:u w:val="single"/>
        </w:rPr>
        <w:t>2</w:t>
      </w:r>
      <w:r w:rsidRPr="0080731E">
        <w:rPr>
          <w:rFonts w:ascii="Arial" w:hAnsi="Arial" w:cs="Arial"/>
          <w:color w:val="000000"/>
          <w:sz w:val="28"/>
          <w:szCs w:val="28"/>
          <w:u w:val="single"/>
          <w:vertAlign w:val="superscript"/>
        </w:rPr>
        <w:t>nd</w:t>
      </w:r>
      <w:r w:rsidRPr="0080731E">
        <w:rPr>
          <w:rFonts w:ascii="Arial" w:hAnsi="Arial" w:cs="Arial"/>
          <w:color w:val="000000"/>
          <w:sz w:val="28"/>
          <w:szCs w:val="28"/>
          <w:u w:val="single"/>
        </w:rPr>
        <w:t xml:space="preserve"> Update</w:t>
      </w:r>
    </w:p>
    <w:p w14:paraId="6BB02944" w14:textId="2A2F9091" w:rsidR="0080731E" w:rsidRPr="0080731E" w:rsidRDefault="0080731E" w:rsidP="0080731E">
      <w:pPr>
        <w:rPr>
          <w:rFonts w:ascii="Calibri" w:hAnsi="Calibri" w:cs="Calibri"/>
          <w:color w:val="000000"/>
          <w:sz w:val="22"/>
          <w:szCs w:val="22"/>
        </w:rPr>
      </w:pPr>
      <w:r w:rsidRPr="0080731E">
        <w:rPr>
          <w:rFonts w:ascii="Arial" w:hAnsi="Arial" w:cs="Arial"/>
          <w:color w:val="000000"/>
          <w:sz w:val="28"/>
          <w:szCs w:val="28"/>
        </w:rPr>
        <w:t>Good Morning</w:t>
      </w:r>
    </w:p>
    <w:p w14:paraId="602C1275" w14:textId="77777777" w:rsidR="0080731E" w:rsidRPr="0080731E" w:rsidRDefault="0080731E" w:rsidP="0080731E">
      <w:pPr>
        <w:rPr>
          <w:rFonts w:ascii="Calibri" w:hAnsi="Calibri" w:cs="Calibri"/>
          <w:color w:val="000000"/>
          <w:sz w:val="22"/>
          <w:szCs w:val="22"/>
        </w:rPr>
      </w:pPr>
      <w:r w:rsidRPr="0080731E">
        <w:rPr>
          <w:rFonts w:ascii="Arial" w:hAnsi="Arial" w:cs="Arial"/>
          <w:color w:val="000000"/>
          <w:sz w:val="28"/>
          <w:szCs w:val="28"/>
        </w:rPr>
        <w:t> </w:t>
      </w:r>
    </w:p>
    <w:p w14:paraId="15CCFCFB"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28"/>
          <w:szCs w:val="28"/>
        </w:rPr>
        <w:t xml:space="preserve">The E-Tran system for PPP participating lenders will resume </w:t>
      </w:r>
      <w:proofErr w:type="gramStart"/>
      <w:r w:rsidRPr="0080731E">
        <w:rPr>
          <w:rFonts w:ascii="Tahoma" w:hAnsi="Tahoma" w:cs="Tahoma"/>
          <w:color w:val="000000"/>
          <w:sz w:val="28"/>
          <w:szCs w:val="28"/>
        </w:rPr>
        <w:t>processing  on</w:t>
      </w:r>
      <w:proofErr w:type="gramEnd"/>
      <w:r w:rsidRPr="0080731E">
        <w:rPr>
          <w:rFonts w:ascii="Tahoma" w:hAnsi="Tahoma" w:cs="Tahoma"/>
          <w:color w:val="000000"/>
          <w:sz w:val="28"/>
          <w:szCs w:val="28"/>
        </w:rPr>
        <w:t xml:space="preserve"> Monday, April 27, 2020 at 10:30 am EDT;</w:t>
      </w:r>
    </w:p>
    <w:p w14:paraId="7411E0ED"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28"/>
          <w:szCs w:val="28"/>
        </w:rPr>
        <w:t> </w:t>
      </w:r>
    </w:p>
    <w:p w14:paraId="6CEEE9B1"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28"/>
          <w:szCs w:val="28"/>
        </w:rPr>
        <w:t>Updated PPP FAQ is attached additional questions Q&amp;A added Friday and last night.</w:t>
      </w:r>
    </w:p>
    <w:p w14:paraId="24882669" w14:textId="77777777" w:rsidR="0080731E" w:rsidRPr="0080731E" w:rsidRDefault="0080731E" w:rsidP="0080731E">
      <w:pPr>
        <w:rPr>
          <w:rFonts w:ascii="Tahoma" w:hAnsi="Tahoma" w:cs="Tahoma"/>
          <w:color w:val="000000"/>
          <w:sz w:val="18"/>
          <w:szCs w:val="18"/>
        </w:rPr>
      </w:pPr>
      <w:hyperlink r:id="rId7" w:tgtFrame="_blank" w:tooltip="This external link will open in a new window" w:history="1">
        <w:r w:rsidRPr="0080731E">
          <w:rPr>
            <w:rFonts w:ascii="Tahoma" w:hAnsi="Tahoma" w:cs="Tahoma"/>
            <w:color w:val="0563C1"/>
            <w:sz w:val="18"/>
            <w:szCs w:val="18"/>
            <w:u w:val="single"/>
          </w:rPr>
          <w:t>https://home.treasury.gov/system/files/136/Paycheck-Protection-Program-Frequently-Asked-Questions.pdf</w:t>
        </w:r>
      </w:hyperlink>
    </w:p>
    <w:p w14:paraId="16364E68"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18"/>
          <w:szCs w:val="18"/>
        </w:rPr>
        <w:t> </w:t>
      </w:r>
    </w:p>
    <w:p w14:paraId="3C6AB177"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28"/>
          <w:szCs w:val="28"/>
        </w:rPr>
        <w:t>HOW TO CALCULATE MAXIMUM LOAN AMOUNTS – BY BUSINESS TYPE posted 4/24</w:t>
      </w:r>
    </w:p>
    <w:p w14:paraId="6426F938" w14:textId="77777777" w:rsidR="0080731E" w:rsidRPr="0080731E" w:rsidRDefault="0080731E" w:rsidP="0080731E">
      <w:pPr>
        <w:rPr>
          <w:rFonts w:ascii="Tahoma" w:hAnsi="Tahoma" w:cs="Tahoma"/>
          <w:color w:val="000000"/>
          <w:sz w:val="18"/>
          <w:szCs w:val="18"/>
        </w:rPr>
      </w:pPr>
      <w:hyperlink r:id="rId8" w:tgtFrame="_blank" w:tooltip="This external link will open in a new window" w:history="1">
        <w:r w:rsidRPr="0080731E">
          <w:rPr>
            <w:rFonts w:ascii="Tahoma" w:hAnsi="Tahoma" w:cs="Tahoma"/>
            <w:color w:val="0563C1"/>
            <w:sz w:val="18"/>
            <w:szCs w:val="18"/>
            <w:u w:val="single"/>
          </w:rPr>
          <w:t>https://home.treasury.gov/system/files/136/How-to-Calculate-Loan-Amounts.pdf</w:t>
        </w:r>
      </w:hyperlink>
    </w:p>
    <w:p w14:paraId="4633D520" w14:textId="77777777" w:rsidR="0080731E" w:rsidRPr="0080731E" w:rsidRDefault="0080731E" w:rsidP="0080731E">
      <w:pPr>
        <w:rPr>
          <w:rFonts w:ascii="Tahoma" w:hAnsi="Tahoma" w:cs="Tahoma"/>
          <w:color w:val="000000"/>
          <w:sz w:val="18"/>
          <w:szCs w:val="18"/>
        </w:rPr>
      </w:pPr>
      <w:r w:rsidRPr="0080731E">
        <w:rPr>
          <w:rFonts w:ascii="Tahoma" w:hAnsi="Tahoma" w:cs="Tahoma"/>
          <w:color w:val="000000"/>
          <w:sz w:val="28"/>
          <w:szCs w:val="28"/>
        </w:rPr>
        <w:t> </w:t>
      </w:r>
    </w:p>
    <w:p w14:paraId="4D840929" w14:textId="77777777" w:rsidR="0080731E" w:rsidRPr="0080731E" w:rsidRDefault="0080731E" w:rsidP="0080731E">
      <w:pPr>
        <w:rPr>
          <w:rFonts w:ascii="Calibri" w:hAnsi="Calibri" w:cs="Calibri"/>
          <w:color w:val="000000"/>
          <w:sz w:val="22"/>
          <w:szCs w:val="22"/>
        </w:rPr>
      </w:pPr>
      <w:r w:rsidRPr="0080731E">
        <w:rPr>
          <w:rFonts w:ascii="Arial" w:hAnsi="Arial" w:cs="Arial"/>
          <w:color w:val="000000"/>
          <w:sz w:val="28"/>
          <w:szCs w:val="28"/>
        </w:rPr>
        <w:t>Interim Final Rule on Requirements for Promissory Notes Authorizations Affiliation and Eligibility posted 4/24 is attached.</w:t>
      </w:r>
    </w:p>
    <w:p w14:paraId="5D60503F" w14:textId="77777777" w:rsidR="0080731E" w:rsidRPr="0080731E" w:rsidRDefault="0080731E" w:rsidP="0080731E">
      <w:pPr>
        <w:rPr>
          <w:rFonts w:ascii="Calibri" w:hAnsi="Calibri" w:cs="Calibri"/>
          <w:color w:val="000000"/>
          <w:sz w:val="22"/>
          <w:szCs w:val="22"/>
        </w:rPr>
      </w:pPr>
      <w:hyperlink r:id="rId9" w:tgtFrame="_blank" w:tooltip="This external link will open in a new window" w:history="1">
        <w:r w:rsidRPr="0080731E">
          <w:rPr>
            <w:rFonts w:ascii="Calibri" w:hAnsi="Calibri" w:cs="Calibri"/>
            <w:color w:val="0563C1"/>
            <w:sz w:val="22"/>
            <w:szCs w:val="22"/>
            <w:u w:val="single"/>
          </w:rPr>
          <w:t>https://home.treasury.gov/system/files/136/Interim-Final-Rule-on-Requirements-for-Promissory-Notes-Authorizations-Affiliation-and-Eligibility.pdf</w:t>
        </w:r>
      </w:hyperlink>
    </w:p>
    <w:p w14:paraId="52F35F5F" w14:textId="77777777" w:rsidR="0080731E" w:rsidRPr="0080731E" w:rsidRDefault="0080731E" w:rsidP="0080731E">
      <w:pPr>
        <w:rPr>
          <w:rFonts w:ascii="Calibri" w:hAnsi="Calibri" w:cs="Calibri"/>
          <w:color w:val="000000"/>
          <w:sz w:val="22"/>
          <w:szCs w:val="22"/>
        </w:rPr>
      </w:pPr>
      <w:r w:rsidRPr="0080731E">
        <w:rPr>
          <w:rFonts w:ascii="Arial" w:hAnsi="Arial" w:cs="Arial"/>
          <w:color w:val="000000"/>
          <w:sz w:val="28"/>
          <w:szCs w:val="28"/>
        </w:rPr>
        <w:t> </w:t>
      </w:r>
    </w:p>
    <w:p w14:paraId="23844B05" w14:textId="5D9E9B39" w:rsidR="00811A48" w:rsidRDefault="00811A48"/>
    <w:p w14:paraId="28B5C023" w14:textId="20EC31B8" w:rsidR="0080731E" w:rsidRPr="0080731E" w:rsidRDefault="0080731E">
      <w:pPr>
        <w:rPr>
          <w:sz w:val="28"/>
          <w:szCs w:val="28"/>
          <w:u w:val="single"/>
        </w:rPr>
      </w:pPr>
      <w:r w:rsidRPr="0080731E">
        <w:rPr>
          <w:sz w:val="28"/>
          <w:szCs w:val="28"/>
          <w:u w:val="single"/>
        </w:rPr>
        <w:t>3</w:t>
      </w:r>
      <w:r w:rsidRPr="0080731E">
        <w:rPr>
          <w:sz w:val="28"/>
          <w:szCs w:val="28"/>
          <w:u w:val="single"/>
          <w:vertAlign w:val="superscript"/>
        </w:rPr>
        <w:t>rd</w:t>
      </w:r>
      <w:r w:rsidRPr="0080731E">
        <w:rPr>
          <w:sz w:val="28"/>
          <w:szCs w:val="28"/>
          <w:u w:val="single"/>
        </w:rPr>
        <w:t xml:space="preserve"> Update</w:t>
      </w:r>
    </w:p>
    <w:p w14:paraId="7F757D97" w14:textId="77777777" w:rsidR="0080731E" w:rsidRDefault="0080731E" w:rsidP="0080731E">
      <w:pPr>
        <w:rPr>
          <w:rFonts w:ascii="Calibri" w:hAnsi="Calibri" w:cs="Calibri"/>
          <w:color w:val="000000"/>
          <w:sz w:val="22"/>
          <w:szCs w:val="22"/>
        </w:rPr>
      </w:pPr>
      <w:r>
        <w:rPr>
          <w:color w:val="000000"/>
          <w:sz w:val="28"/>
          <w:szCs w:val="28"/>
        </w:rPr>
        <w:t>GSA was notified of a fraudulent website which is using the look/feel of the real SAM.gov and the look/feel of the real login.gov</w:t>
      </w:r>
      <w:r>
        <w:rPr>
          <w:color w:val="1F497D"/>
          <w:sz w:val="28"/>
          <w:szCs w:val="28"/>
        </w:rPr>
        <w:t>(</w:t>
      </w:r>
      <w:hyperlink r:id="rId10" w:tgtFrame="_blank" w:tooltip="This external link will open in a new window" w:history="1">
        <w:r>
          <w:rPr>
            <w:rStyle w:val="Hyperlink"/>
            <w:color w:val="0563C1"/>
            <w:sz w:val="28"/>
            <w:szCs w:val="28"/>
          </w:rPr>
          <w:t>http://login.gov/</w:t>
        </w:r>
      </w:hyperlink>
      <w:r>
        <w:rPr>
          <w:color w:val="1F497D"/>
          <w:sz w:val="28"/>
          <w:szCs w:val="28"/>
        </w:rPr>
        <w:t>)</w:t>
      </w:r>
      <w:r>
        <w:rPr>
          <w:rStyle w:val="apple-converted-space"/>
          <w:color w:val="1F497D"/>
          <w:sz w:val="28"/>
          <w:szCs w:val="28"/>
        </w:rPr>
        <w:t> </w:t>
      </w:r>
      <w:r>
        <w:rPr>
          <w:color w:val="000000"/>
          <w:sz w:val="28"/>
          <w:szCs w:val="28"/>
        </w:rPr>
        <w:t>sign-in page.</w:t>
      </w:r>
    </w:p>
    <w:p w14:paraId="596016A5" w14:textId="77777777" w:rsidR="0080731E" w:rsidRDefault="0080731E" w:rsidP="0080731E">
      <w:pPr>
        <w:rPr>
          <w:rFonts w:ascii="Calibri" w:hAnsi="Calibri" w:cs="Calibri"/>
          <w:color w:val="000000"/>
          <w:sz w:val="22"/>
          <w:szCs w:val="22"/>
        </w:rPr>
      </w:pPr>
      <w:r>
        <w:rPr>
          <w:color w:val="000000"/>
          <w:sz w:val="28"/>
          <w:szCs w:val="28"/>
        </w:rPr>
        <w:br/>
      </w:r>
      <w:r>
        <w:rPr>
          <w:color w:val="000000"/>
          <w:sz w:val="28"/>
          <w:szCs w:val="28"/>
          <w:shd w:val="clear" w:color="auto" w:fill="FFFF00"/>
        </w:rPr>
        <w:t>The website at </w:t>
      </w:r>
      <w:hyperlink r:id="rId11" w:tgtFrame="_blank" w:tooltip="This external link will open in a new window" w:history="1">
        <w:r>
          <w:rPr>
            <w:rStyle w:val="Hyperlink"/>
            <w:color w:val="0563C1"/>
            <w:sz w:val="28"/>
            <w:szCs w:val="28"/>
            <w:shd w:val="clear" w:color="auto" w:fill="FFFF00"/>
          </w:rPr>
          <w:t>https://sam-gov.org</w:t>
        </w:r>
      </w:hyperlink>
      <w:r>
        <w:rPr>
          <w:rStyle w:val="apple-converted-space"/>
          <w:color w:val="1F497D"/>
          <w:sz w:val="28"/>
          <w:szCs w:val="28"/>
          <w:shd w:val="clear" w:color="auto" w:fill="FFFF00"/>
        </w:rPr>
        <w:t> </w:t>
      </w:r>
      <w:r>
        <w:rPr>
          <w:color w:val="000000"/>
          <w:sz w:val="28"/>
          <w:szCs w:val="28"/>
          <w:shd w:val="clear" w:color="auto" w:fill="FFFF00"/>
        </w:rPr>
        <w:t> is </w:t>
      </w:r>
      <w:r>
        <w:rPr>
          <w:color w:val="000000"/>
          <w:sz w:val="28"/>
          <w:szCs w:val="28"/>
          <w:u w:val="single"/>
          <w:shd w:val="clear" w:color="auto" w:fill="FFFF00"/>
        </w:rPr>
        <w:t>NOT</w:t>
      </w:r>
      <w:r>
        <w:rPr>
          <w:color w:val="000000"/>
          <w:sz w:val="28"/>
          <w:szCs w:val="28"/>
          <w:shd w:val="clear" w:color="auto" w:fill="FFFF00"/>
        </w:rPr>
        <w:t> a legitimate web site.</w:t>
      </w:r>
      <w:r>
        <w:rPr>
          <w:rStyle w:val="apple-converted-space"/>
          <w:color w:val="000000"/>
          <w:sz w:val="28"/>
          <w:szCs w:val="28"/>
        </w:rPr>
        <w:t> </w:t>
      </w:r>
      <w:r>
        <w:rPr>
          <w:color w:val="000000"/>
          <w:sz w:val="28"/>
          <w:szCs w:val="28"/>
        </w:rPr>
        <w:t>Do not enter any information on this website.</w:t>
      </w:r>
      <w:r>
        <w:rPr>
          <w:color w:val="000000"/>
          <w:sz w:val="28"/>
          <w:szCs w:val="28"/>
        </w:rPr>
        <w:br/>
      </w:r>
      <w:r>
        <w:rPr>
          <w:color w:val="000000"/>
          <w:sz w:val="28"/>
          <w:szCs w:val="28"/>
        </w:rPr>
        <w:br/>
        <w:t>GSA is investigating this as a security risk.</w:t>
      </w:r>
    </w:p>
    <w:p w14:paraId="56519D78" w14:textId="77777777" w:rsidR="0080731E" w:rsidRDefault="0080731E" w:rsidP="0080731E">
      <w:pPr>
        <w:rPr>
          <w:rFonts w:ascii="Calibri" w:hAnsi="Calibri" w:cs="Calibri"/>
          <w:color w:val="000000"/>
          <w:sz w:val="22"/>
          <w:szCs w:val="22"/>
        </w:rPr>
      </w:pPr>
      <w:r>
        <w:rPr>
          <w:color w:val="000000"/>
          <w:sz w:val="28"/>
          <w:szCs w:val="28"/>
        </w:rPr>
        <w:t> </w:t>
      </w:r>
    </w:p>
    <w:p w14:paraId="1412E328" w14:textId="77777777" w:rsidR="0080731E" w:rsidRDefault="0080731E" w:rsidP="0080731E">
      <w:pPr>
        <w:rPr>
          <w:rFonts w:ascii="Calibri" w:hAnsi="Calibri" w:cs="Calibri"/>
          <w:color w:val="000000"/>
          <w:sz w:val="22"/>
          <w:szCs w:val="22"/>
        </w:rPr>
      </w:pPr>
      <w:r>
        <w:rPr>
          <w:color w:val="000000"/>
          <w:sz w:val="28"/>
          <w:szCs w:val="28"/>
        </w:rPr>
        <w:t xml:space="preserve">We have no additional information </w:t>
      </w:r>
      <w:proofErr w:type="gramStart"/>
      <w:r>
        <w:rPr>
          <w:color w:val="000000"/>
          <w:sz w:val="28"/>
          <w:szCs w:val="28"/>
        </w:rPr>
        <w:t>at this time</w:t>
      </w:r>
      <w:proofErr w:type="gramEnd"/>
      <w:r>
        <w:rPr>
          <w:color w:val="000000"/>
          <w:sz w:val="28"/>
          <w:szCs w:val="28"/>
        </w:rPr>
        <w:t>.</w:t>
      </w:r>
    </w:p>
    <w:p w14:paraId="33A131D9" w14:textId="77777777" w:rsidR="0080731E" w:rsidRDefault="0080731E" w:rsidP="0080731E">
      <w:pPr>
        <w:rPr>
          <w:rFonts w:ascii="Calibri" w:hAnsi="Calibri" w:cs="Calibri"/>
          <w:color w:val="000000"/>
          <w:sz w:val="22"/>
          <w:szCs w:val="22"/>
        </w:rPr>
      </w:pPr>
      <w:r>
        <w:rPr>
          <w:color w:val="000000"/>
          <w:sz w:val="28"/>
          <w:szCs w:val="28"/>
        </w:rPr>
        <w:t> </w:t>
      </w:r>
    </w:p>
    <w:p w14:paraId="4A023423" w14:textId="786C13C2" w:rsidR="0080731E" w:rsidRDefault="0080731E" w:rsidP="0080731E">
      <w:pPr>
        <w:spacing w:after="280"/>
        <w:rPr>
          <w:rFonts w:ascii="Calibri" w:hAnsi="Calibri" w:cs="Calibri"/>
          <w:color w:val="000000"/>
          <w:sz w:val="22"/>
          <w:szCs w:val="22"/>
        </w:rPr>
      </w:pPr>
      <w:r>
        <w:rPr>
          <w:color w:val="000000"/>
          <w:sz w:val="28"/>
          <w:szCs w:val="28"/>
        </w:rPr>
        <w:t>Thank you</w:t>
      </w:r>
    </w:p>
    <w:p w14:paraId="5197088B" w14:textId="77777777" w:rsidR="0080731E" w:rsidRDefault="0080731E" w:rsidP="0080731E"/>
    <w:p w14:paraId="01B65F6E" w14:textId="628AEF80" w:rsidR="0080731E" w:rsidRPr="00924682" w:rsidRDefault="00924682">
      <w:pPr>
        <w:rPr>
          <w:sz w:val="28"/>
          <w:szCs w:val="28"/>
          <w:u w:val="single"/>
        </w:rPr>
      </w:pPr>
      <w:r w:rsidRPr="00924682">
        <w:rPr>
          <w:sz w:val="28"/>
          <w:szCs w:val="28"/>
          <w:u w:val="single"/>
        </w:rPr>
        <w:t>4</w:t>
      </w:r>
      <w:r w:rsidRPr="00924682">
        <w:rPr>
          <w:sz w:val="28"/>
          <w:szCs w:val="28"/>
          <w:u w:val="single"/>
          <w:vertAlign w:val="superscript"/>
        </w:rPr>
        <w:t>th</w:t>
      </w:r>
      <w:r w:rsidRPr="00924682">
        <w:rPr>
          <w:sz w:val="28"/>
          <w:szCs w:val="28"/>
          <w:u w:val="single"/>
        </w:rPr>
        <w:t xml:space="preserve"> Update</w:t>
      </w:r>
    </w:p>
    <w:p w14:paraId="0712F32C" w14:textId="7D078126" w:rsidR="00924682" w:rsidRPr="00924682" w:rsidRDefault="00924682">
      <w:pPr>
        <w:rPr>
          <w:sz w:val="28"/>
          <w:szCs w:val="28"/>
        </w:rPr>
      </w:pPr>
    </w:p>
    <w:p w14:paraId="5EE226B3" w14:textId="77777777" w:rsidR="00924682" w:rsidRPr="00924682" w:rsidRDefault="00924682" w:rsidP="00924682">
      <w:pPr>
        <w:rPr>
          <w:color w:val="000000"/>
          <w:sz w:val="28"/>
          <w:szCs w:val="28"/>
        </w:rPr>
      </w:pPr>
      <w:r w:rsidRPr="00924682">
        <w:rPr>
          <w:color w:val="000000"/>
          <w:sz w:val="28"/>
          <w:szCs w:val="28"/>
        </w:rPr>
        <w:t>Good afternoon,</w:t>
      </w:r>
    </w:p>
    <w:p w14:paraId="24F39C10" w14:textId="77777777" w:rsidR="00924682" w:rsidRPr="00924682" w:rsidRDefault="00924682" w:rsidP="00924682">
      <w:pPr>
        <w:rPr>
          <w:color w:val="000000"/>
          <w:sz w:val="28"/>
          <w:szCs w:val="28"/>
        </w:rPr>
      </w:pPr>
      <w:r w:rsidRPr="00924682">
        <w:rPr>
          <w:color w:val="000000"/>
          <w:sz w:val="28"/>
          <w:szCs w:val="28"/>
        </w:rPr>
        <w:lastRenderedPageBreak/>
        <w:t> </w:t>
      </w:r>
    </w:p>
    <w:p w14:paraId="30B6CF08" w14:textId="77777777" w:rsidR="00924682" w:rsidRPr="00924682" w:rsidRDefault="00924682" w:rsidP="00924682">
      <w:pPr>
        <w:rPr>
          <w:color w:val="000000"/>
          <w:sz w:val="28"/>
          <w:szCs w:val="28"/>
        </w:rPr>
      </w:pPr>
      <w:r w:rsidRPr="00924682">
        <w:rPr>
          <w:b/>
          <w:bCs/>
          <w:color w:val="FF0000"/>
          <w:sz w:val="28"/>
          <w:szCs w:val="28"/>
        </w:rPr>
        <w:t>PPP Lending Operations Update – Monday, April 27, 2020</w:t>
      </w:r>
    </w:p>
    <w:p w14:paraId="703128BD" w14:textId="77777777" w:rsidR="00924682" w:rsidRPr="00924682" w:rsidRDefault="00924682" w:rsidP="00924682">
      <w:pPr>
        <w:rPr>
          <w:color w:val="000000"/>
          <w:sz w:val="28"/>
          <w:szCs w:val="28"/>
        </w:rPr>
      </w:pPr>
      <w:r w:rsidRPr="00924682">
        <w:rPr>
          <w:color w:val="000000"/>
          <w:sz w:val="28"/>
          <w:szCs w:val="28"/>
        </w:rPr>
        <w:t>SBA and Treasury have updated the guidance for lenders who have received a significant amount of Paycheck Protection Program (PPP) loan applications.</w:t>
      </w:r>
      <w:r w:rsidRPr="00924682">
        <w:rPr>
          <w:rStyle w:val="apple-converted-space"/>
          <w:color w:val="000000"/>
          <w:sz w:val="28"/>
          <w:szCs w:val="28"/>
        </w:rPr>
        <w:t> </w:t>
      </w:r>
      <w:r w:rsidRPr="00924682">
        <w:rPr>
          <w:color w:val="000000"/>
          <w:sz w:val="28"/>
          <w:szCs w:val="28"/>
        </w:rPr>
        <w:br/>
      </w:r>
      <w:r w:rsidRPr="00924682">
        <w:rPr>
          <w:color w:val="000000"/>
          <w:sz w:val="28"/>
          <w:szCs w:val="28"/>
        </w:rPr>
        <w:br/>
        <w:t>The minimum amount of lender-approved and SBA-ready PPP loans that a lender must have ready for the XML file submission process is</w:t>
      </w:r>
      <w:r w:rsidRPr="00924682">
        <w:rPr>
          <w:rStyle w:val="apple-converted-space"/>
          <w:color w:val="000000"/>
          <w:sz w:val="28"/>
          <w:szCs w:val="28"/>
        </w:rPr>
        <w:t> </w:t>
      </w:r>
      <w:r w:rsidRPr="00924682">
        <w:rPr>
          <w:b/>
          <w:bCs/>
          <w:color w:val="000000"/>
          <w:sz w:val="28"/>
          <w:szCs w:val="28"/>
        </w:rPr>
        <w:t>now 5,000 loans.</w:t>
      </w:r>
    </w:p>
    <w:p w14:paraId="28F4DBC3" w14:textId="77777777" w:rsidR="00924682" w:rsidRPr="00924682" w:rsidRDefault="00924682" w:rsidP="00924682">
      <w:pPr>
        <w:rPr>
          <w:color w:val="000000"/>
          <w:sz w:val="28"/>
          <w:szCs w:val="28"/>
        </w:rPr>
      </w:pPr>
      <w:r w:rsidRPr="00924682">
        <w:rPr>
          <w:b/>
          <w:bCs/>
          <w:color w:val="000000"/>
          <w:sz w:val="28"/>
          <w:szCs w:val="28"/>
          <w:u w:val="single"/>
        </w:rPr>
        <w:t>Please note these XML files of 5,000 or more approved PPP loans must be submitted to</w:t>
      </w:r>
      <w:r w:rsidRPr="00924682">
        <w:rPr>
          <w:rStyle w:val="apple-converted-space"/>
          <w:b/>
          <w:bCs/>
          <w:color w:val="000000"/>
          <w:sz w:val="28"/>
          <w:szCs w:val="28"/>
          <w:u w:val="single"/>
        </w:rPr>
        <w:t> </w:t>
      </w:r>
      <w:r w:rsidRPr="00924682">
        <w:rPr>
          <w:b/>
          <w:bCs/>
          <w:color w:val="FF0000"/>
          <w:sz w:val="28"/>
          <w:szCs w:val="28"/>
          <w:u w:val="single"/>
        </w:rPr>
        <w:t>SBA by 9pm EDT on Monday, April 27, 2020. </w:t>
      </w:r>
      <w:r w:rsidRPr="00924682">
        <w:rPr>
          <w:rStyle w:val="apple-converted-space"/>
          <w:b/>
          <w:bCs/>
          <w:color w:val="FF0000"/>
          <w:sz w:val="28"/>
          <w:szCs w:val="28"/>
          <w:u w:val="single"/>
        </w:rPr>
        <w:t> </w:t>
      </w:r>
    </w:p>
    <w:p w14:paraId="549FA07B" w14:textId="77777777" w:rsidR="00924682" w:rsidRPr="00924682" w:rsidRDefault="00924682" w:rsidP="00924682">
      <w:pPr>
        <w:rPr>
          <w:color w:val="000000"/>
          <w:sz w:val="28"/>
          <w:szCs w:val="28"/>
        </w:rPr>
      </w:pPr>
      <w:r w:rsidRPr="00924682">
        <w:rPr>
          <w:color w:val="000000"/>
          <w:sz w:val="28"/>
          <w:szCs w:val="28"/>
        </w:rPr>
        <w:t>SBA and Treasury value all lenders and their small business customers and will continue to provide updates to the PPP lending community as loan processing resumes this week.</w:t>
      </w:r>
    </w:p>
    <w:p w14:paraId="0ADC63F5" w14:textId="77777777" w:rsidR="00924682" w:rsidRPr="00924682" w:rsidRDefault="00924682" w:rsidP="00924682">
      <w:pPr>
        <w:rPr>
          <w:color w:val="000000"/>
          <w:sz w:val="28"/>
          <w:szCs w:val="28"/>
        </w:rPr>
      </w:pPr>
      <w:r w:rsidRPr="00924682">
        <w:rPr>
          <w:color w:val="000000"/>
          <w:sz w:val="28"/>
          <w:szCs w:val="28"/>
        </w:rPr>
        <w:t> </w:t>
      </w:r>
    </w:p>
    <w:p w14:paraId="43F3563E" w14:textId="77777777" w:rsidR="00924682" w:rsidRPr="00924682" w:rsidRDefault="00924682" w:rsidP="00924682">
      <w:pPr>
        <w:rPr>
          <w:color w:val="000000"/>
          <w:sz w:val="28"/>
          <w:szCs w:val="28"/>
        </w:rPr>
      </w:pPr>
      <w:r w:rsidRPr="00924682">
        <w:rPr>
          <w:color w:val="000000"/>
          <w:sz w:val="28"/>
          <w:szCs w:val="28"/>
        </w:rPr>
        <w:t>We have heard from many of you today that you are experiencing issues when trying to submit your loan applications.  It is our understanding that lenders are experiencing the pacing system SBA put in place to ensure all lenders, no matter the size, have equal access to the system and it is not overwhelmed.</w:t>
      </w:r>
    </w:p>
    <w:p w14:paraId="694050C1" w14:textId="77777777" w:rsidR="00924682" w:rsidRPr="00924682" w:rsidRDefault="00924682" w:rsidP="00924682">
      <w:pPr>
        <w:rPr>
          <w:color w:val="000000"/>
          <w:sz w:val="28"/>
          <w:szCs w:val="28"/>
        </w:rPr>
      </w:pPr>
      <w:r w:rsidRPr="00924682">
        <w:rPr>
          <w:color w:val="000000"/>
          <w:sz w:val="28"/>
          <w:szCs w:val="28"/>
        </w:rPr>
        <w:t> </w:t>
      </w:r>
    </w:p>
    <w:p w14:paraId="6366D9D9" w14:textId="77777777" w:rsidR="00924682" w:rsidRPr="00924682" w:rsidRDefault="00924682" w:rsidP="00924682">
      <w:pPr>
        <w:rPr>
          <w:color w:val="000000"/>
          <w:sz w:val="28"/>
          <w:szCs w:val="28"/>
        </w:rPr>
      </w:pPr>
      <w:r w:rsidRPr="00924682">
        <w:rPr>
          <w:color w:val="000000"/>
          <w:sz w:val="28"/>
          <w:szCs w:val="28"/>
        </w:rPr>
        <w:t>Additionally, Treasury has just issued new PPP Guidance on Seasonal Employees with an Interim Final Rule a copy of which attached. </w:t>
      </w:r>
    </w:p>
    <w:p w14:paraId="7BC03C96" w14:textId="77777777" w:rsidR="00924682" w:rsidRPr="00924682" w:rsidRDefault="00924682" w:rsidP="00924682">
      <w:pPr>
        <w:rPr>
          <w:color w:val="000000"/>
          <w:sz w:val="28"/>
          <w:szCs w:val="28"/>
        </w:rPr>
      </w:pPr>
      <w:r w:rsidRPr="00924682">
        <w:rPr>
          <w:color w:val="000000"/>
          <w:sz w:val="28"/>
          <w:szCs w:val="28"/>
        </w:rPr>
        <w:t> </w:t>
      </w:r>
    </w:p>
    <w:p w14:paraId="18E12FC5" w14:textId="77777777" w:rsidR="00924682" w:rsidRPr="00924682" w:rsidRDefault="00924682" w:rsidP="00924682">
      <w:pPr>
        <w:rPr>
          <w:color w:val="000000"/>
          <w:sz w:val="28"/>
          <w:szCs w:val="28"/>
        </w:rPr>
      </w:pPr>
      <w:r w:rsidRPr="00924682">
        <w:rPr>
          <w:color w:val="000000"/>
          <w:sz w:val="28"/>
          <w:szCs w:val="28"/>
        </w:rPr>
        <w:t>I will continue to provide you with updates as they become available.</w:t>
      </w:r>
    </w:p>
    <w:p w14:paraId="11F253FD" w14:textId="77777777" w:rsidR="00924682" w:rsidRPr="00924682" w:rsidRDefault="00924682" w:rsidP="00924682">
      <w:pPr>
        <w:rPr>
          <w:color w:val="000000"/>
          <w:sz w:val="28"/>
          <w:szCs w:val="28"/>
        </w:rPr>
      </w:pPr>
      <w:r w:rsidRPr="00924682">
        <w:rPr>
          <w:color w:val="000000"/>
          <w:sz w:val="28"/>
          <w:szCs w:val="28"/>
        </w:rPr>
        <w:t> </w:t>
      </w:r>
    </w:p>
    <w:p w14:paraId="23F2886A" w14:textId="77777777" w:rsidR="00924682" w:rsidRPr="00924682" w:rsidRDefault="00924682">
      <w:pPr>
        <w:rPr>
          <w:sz w:val="28"/>
          <w:szCs w:val="28"/>
        </w:rPr>
      </w:pPr>
    </w:p>
    <w:sectPr w:rsidR="00924682" w:rsidRPr="00924682"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D53DB"/>
    <w:multiLevelType w:val="multilevel"/>
    <w:tmpl w:val="64D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F2FB8"/>
    <w:multiLevelType w:val="multilevel"/>
    <w:tmpl w:val="BBB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44DE4"/>
    <w:multiLevelType w:val="multilevel"/>
    <w:tmpl w:val="CACC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C14710"/>
    <w:multiLevelType w:val="multilevel"/>
    <w:tmpl w:val="F6C0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1E"/>
    <w:rsid w:val="002F42CE"/>
    <w:rsid w:val="003B6BB9"/>
    <w:rsid w:val="0080731E"/>
    <w:rsid w:val="00811A48"/>
    <w:rsid w:val="00924682"/>
    <w:rsid w:val="00D173C0"/>
    <w:rsid w:val="00EA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0CF2"/>
  <w15:chartTrackingRefBased/>
  <w15:docId w15:val="{1873AA96-5282-B244-AB8B-C59564F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31E"/>
    <w:rPr>
      <w:color w:val="0000FF"/>
      <w:u w:val="single"/>
    </w:rPr>
  </w:style>
  <w:style w:type="paragraph" w:styleId="NormalWeb">
    <w:name w:val="Normal (Web)"/>
    <w:basedOn w:val="Normal"/>
    <w:uiPriority w:val="99"/>
    <w:semiHidden/>
    <w:unhideWhenUsed/>
    <w:rsid w:val="0080731E"/>
    <w:pPr>
      <w:spacing w:before="100" w:beforeAutospacing="1" w:after="100" w:afterAutospacing="1"/>
    </w:pPr>
  </w:style>
  <w:style w:type="character" w:customStyle="1" w:styleId="apple-converted-space">
    <w:name w:val="apple-converted-space"/>
    <w:basedOn w:val="DefaultParagraphFont"/>
    <w:rsid w:val="0080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8096">
      <w:bodyDiv w:val="1"/>
      <w:marLeft w:val="0"/>
      <w:marRight w:val="0"/>
      <w:marTop w:val="0"/>
      <w:marBottom w:val="0"/>
      <w:divBdr>
        <w:top w:val="none" w:sz="0" w:space="0" w:color="auto"/>
        <w:left w:val="none" w:sz="0" w:space="0" w:color="auto"/>
        <w:bottom w:val="none" w:sz="0" w:space="0" w:color="auto"/>
        <w:right w:val="none" w:sz="0" w:space="0" w:color="auto"/>
      </w:divBdr>
    </w:div>
    <w:div w:id="400829467">
      <w:bodyDiv w:val="1"/>
      <w:marLeft w:val="0"/>
      <w:marRight w:val="0"/>
      <w:marTop w:val="0"/>
      <w:marBottom w:val="0"/>
      <w:divBdr>
        <w:top w:val="none" w:sz="0" w:space="0" w:color="auto"/>
        <w:left w:val="none" w:sz="0" w:space="0" w:color="auto"/>
        <w:bottom w:val="none" w:sz="0" w:space="0" w:color="auto"/>
        <w:right w:val="none" w:sz="0" w:space="0" w:color="auto"/>
      </w:divBdr>
    </w:div>
    <w:div w:id="643508500">
      <w:bodyDiv w:val="1"/>
      <w:marLeft w:val="0"/>
      <w:marRight w:val="0"/>
      <w:marTop w:val="0"/>
      <w:marBottom w:val="0"/>
      <w:divBdr>
        <w:top w:val="none" w:sz="0" w:space="0" w:color="auto"/>
        <w:left w:val="none" w:sz="0" w:space="0" w:color="auto"/>
        <w:bottom w:val="none" w:sz="0" w:space="0" w:color="auto"/>
        <w:right w:val="none" w:sz="0" w:space="0" w:color="auto"/>
      </w:divBdr>
      <w:divsChild>
        <w:div w:id="113259367">
          <w:marLeft w:val="0"/>
          <w:marRight w:val="0"/>
          <w:marTop w:val="0"/>
          <w:marBottom w:val="0"/>
          <w:divBdr>
            <w:top w:val="none" w:sz="0" w:space="0" w:color="auto"/>
            <w:left w:val="none" w:sz="0" w:space="0" w:color="auto"/>
            <w:bottom w:val="none" w:sz="0" w:space="0" w:color="auto"/>
            <w:right w:val="none" w:sz="0" w:space="0" w:color="auto"/>
          </w:divBdr>
        </w:div>
        <w:div w:id="530653453">
          <w:marLeft w:val="0"/>
          <w:marRight w:val="0"/>
          <w:marTop w:val="0"/>
          <w:marBottom w:val="0"/>
          <w:divBdr>
            <w:top w:val="none" w:sz="0" w:space="0" w:color="auto"/>
            <w:left w:val="none" w:sz="0" w:space="0" w:color="auto"/>
            <w:bottom w:val="none" w:sz="0" w:space="0" w:color="auto"/>
            <w:right w:val="none" w:sz="0" w:space="0" w:color="auto"/>
          </w:divBdr>
        </w:div>
        <w:div w:id="1638801563">
          <w:marLeft w:val="0"/>
          <w:marRight w:val="0"/>
          <w:marTop w:val="0"/>
          <w:marBottom w:val="0"/>
          <w:divBdr>
            <w:top w:val="none" w:sz="0" w:space="0" w:color="auto"/>
            <w:left w:val="none" w:sz="0" w:space="0" w:color="auto"/>
            <w:bottom w:val="none" w:sz="0" w:space="0" w:color="auto"/>
            <w:right w:val="none" w:sz="0" w:space="0" w:color="auto"/>
          </w:divBdr>
        </w:div>
        <w:div w:id="2093818152">
          <w:marLeft w:val="0"/>
          <w:marRight w:val="0"/>
          <w:marTop w:val="0"/>
          <w:marBottom w:val="0"/>
          <w:divBdr>
            <w:top w:val="none" w:sz="0" w:space="0" w:color="auto"/>
            <w:left w:val="none" w:sz="0" w:space="0" w:color="auto"/>
            <w:bottom w:val="none" w:sz="0" w:space="0" w:color="auto"/>
            <w:right w:val="none" w:sz="0" w:space="0" w:color="auto"/>
          </w:divBdr>
        </w:div>
        <w:div w:id="2133017720">
          <w:marLeft w:val="0"/>
          <w:marRight w:val="0"/>
          <w:marTop w:val="0"/>
          <w:marBottom w:val="0"/>
          <w:divBdr>
            <w:top w:val="none" w:sz="0" w:space="0" w:color="auto"/>
            <w:left w:val="none" w:sz="0" w:space="0" w:color="auto"/>
            <w:bottom w:val="none" w:sz="0" w:space="0" w:color="auto"/>
            <w:right w:val="none" w:sz="0" w:space="0" w:color="auto"/>
          </w:divBdr>
        </w:div>
        <w:div w:id="1452281162">
          <w:marLeft w:val="0"/>
          <w:marRight w:val="0"/>
          <w:marTop w:val="0"/>
          <w:marBottom w:val="0"/>
          <w:divBdr>
            <w:top w:val="none" w:sz="0" w:space="0" w:color="auto"/>
            <w:left w:val="none" w:sz="0" w:space="0" w:color="auto"/>
            <w:bottom w:val="none" w:sz="0" w:space="0" w:color="auto"/>
            <w:right w:val="none" w:sz="0" w:space="0" w:color="auto"/>
          </w:divBdr>
        </w:div>
        <w:div w:id="1256552752">
          <w:marLeft w:val="0"/>
          <w:marRight w:val="0"/>
          <w:marTop w:val="0"/>
          <w:marBottom w:val="0"/>
          <w:divBdr>
            <w:top w:val="none" w:sz="0" w:space="0" w:color="auto"/>
            <w:left w:val="none" w:sz="0" w:space="0" w:color="auto"/>
            <w:bottom w:val="none" w:sz="0" w:space="0" w:color="auto"/>
            <w:right w:val="none" w:sz="0" w:space="0" w:color="auto"/>
          </w:divBdr>
        </w:div>
        <w:div w:id="760760132">
          <w:marLeft w:val="0"/>
          <w:marRight w:val="0"/>
          <w:marTop w:val="0"/>
          <w:marBottom w:val="0"/>
          <w:divBdr>
            <w:top w:val="none" w:sz="0" w:space="0" w:color="auto"/>
            <w:left w:val="none" w:sz="0" w:space="0" w:color="auto"/>
            <w:bottom w:val="none" w:sz="0" w:space="0" w:color="auto"/>
            <w:right w:val="none" w:sz="0" w:space="0" w:color="auto"/>
          </w:divBdr>
        </w:div>
      </w:divsChild>
    </w:div>
    <w:div w:id="12805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How-to-Calculate-Loan-Amou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treasury.gov/system/files/136/Paycheck-Protection-Program-Frequently-Asked-Ques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sba.gov/document%E2%80%8C/policy-guidance%E2%80%8C-%E2%80%8C-guidance-memo-xml-file-submission-process-paycheck-protection-program-ppp" TargetMode="External"/><Relationship Id="rId11" Type="http://schemas.openxmlformats.org/officeDocument/2006/relationships/hyperlink" Target="https://sam-gov.org" TargetMode="External"/><Relationship Id="rId5" Type="http://schemas.openxmlformats.org/officeDocument/2006/relationships/hyperlink" Target="https://content.sba.gov/sites/default/files/2020-04/Paycheck-Protection-Program-Frequently-Asked-Questions_04%2026%2020.pdf" TargetMode="External"/><Relationship Id="rId10" Type="http://schemas.openxmlformats.org/officeDocument/2006/relationships/hyperlink" Target="http://login.gov/" TargetMode="External"/><Relationship Id="rId4" Type="http://schemas.openxmlformats.org/officeDocument/2006/relationships/webSettings" Target="webSettings.xml"/><Relationship Id="rId9" Type="http://schemas.openxmlformats.org/officeDocument/2006/relationships/hyperlink" Target="https://home.treasury.gov/system/files/136/Interim-Final-Rule-on-Requirements-for-Promissory-Notes-Authorizations-Affiliation-and-Elig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5</cp:revision>
  <dcterms:created xsi:type="dcterms:W3CDTF">2020-04-27T16:47:00Z</dcterms:created>
  <dcterms:modified xsi:type="dcterms:W3CDTF">2020-04-27T23:13:00Z</dcterms:modified>
</cp:coreProperties>
</file>