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jc w:val="center"/>
        <w:rPr>
          <w:sz w:val="28"/>
          <w:szCs w:val="28"/>
        </w:rPr>
      </w:pPr>
      <w:bookmarkStart w:colFirst="0" w:colLast="0" w:name="_bklil5d3sspb" w:id="0"/>
      <w:bookmarkEnd w:id="0"/>
      <w:r w:rsidDel="00000000" w:rsidR="00000000" w:rsidRPr="00000000">
        <w:rPr>
          <w:sz w:val="28"/>
          <w:szCs w:val="28"/>
          <w:rtl w:val="0"/>
        </w:rPr>
        <w:t xml:space="preserve">Screen Readers Basic Internet Navigation 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INSTRUCTOR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0" w:before="0" w:lineRule="auto"/>
        <w:jc w:val="center"/>
        <w:rPr>
          <w:b w:val="1"/>
          <w:sz w:val="48"/>
          <w:szCs w:val="48"/>
        </w:rPr>
      </w:pPr>
      <w:bookmarkStart w:colFirst="0" w:colLast="0" w:name="_jba2d6z80bmr" w:id="1"/>
      <w:bookmarkEnd w:id="1"/>
      <w:r w:rsidDel="00000000" w:rsidR="00000000" w:rsidRPr="00000000">
        <w:rPr>
          <w:b w:val="1"/>
          <w:sz w:val="48"/>
          <w:szCs w:val="48"/>
          <w:rtl w:val="0"/>
        </w:rPr>
        <w:t xml:space="preserve">Method 1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Module D - Navigating by Clickable Object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Click Here for More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Note: This lesson plan may involve multiple sessions.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7125"/>
        <w:tblGridChange w:id="0">
          <w:tblGrid>
            <w:gridCol w:w="2235"/>
            <w:gridCol w:w="712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2"/>
              <w:rPr/>
            </w:pPr>
            <w:bookmarkStart w:colFirst="0" w:colLast="0" w:name="_q6i4nfkf1184" w:id="2"/>
            <w:bookmarkEnd w:id="2"/>
            <w:r w:rsidDel="00000000" w:rsidR="00000000" w:rsidRPr="00000000">
              <w:rPr>
                <w:rtl w:val="0"/>
              </w:rPr>
              <w:t xml:space="preserve">Instructional </w:t>
            </w:r>
          </w:p>
          <w:p w:rsidR="00000000" w:rsidDel="00000000" w:rsidP="00000000" w:rsidRDefault="00000000" w:rsidRPr="00000000" w14:paraId="0000000A">
            <w:pPr>
              <w:pStyle w:val="Heading2"/>
              <w:rPr/>
            </w:pPr>
            <w:bookmarkStart w:colFirst="0" w:colLast="0" w:name="_afno6z7k2dqu" w:id="3"/>
            <w:bookmarkEnd w:id="3"/>
            <w:r w:rsidDel="00000000" w:rsidR="00000000" w:rsidRPr="00000000">
              <w:rPr>
                <w:rtl w:val="0"/>
              </w:rPr>
              <w:t xml:space="preserve">Objective: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3.4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24"/>
                <w:szCs w:val="24"/>
                <w:rtl w:val="0"/>
              </w:rPr>
              <w:t xml:space="preserve">be able to Use the “Tab” key to navigate to the next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24"/>
                <w:szCs w:val="24"/>
                <w:u w:val="single"/>
                <w:rtl w:val="0"/>
              </w:rPr>
              <w:t xml:space="preserve">clickable object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sz w:val="24"/>
                <w:szCs w:val="24"/>
                <w:rtl w:val="0"/>
              </w:rPr>
              <w:t xml:space="preserve">(Shift Tab for previous)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wsq7gwykpvjg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7095"/>
        <w:tblGridChange w:id="0">
          <w:tblGrid>
            <w:gridCol w:w="2265"/>
            <w:gridCol w:w="709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Style w:val="Heading2"/>
              <w:rPr>
                <w:b w:val="1"/>
                <w:sz w:val="24"/>
                <w:szCs w:val="24"/>
              </w:rPr>
            </w:pPr>
            <w:bookmarkStart w:colFirst="0" w:colLast="0" w:name="_av2j12wfls5j" w:id="5"/>
            <w:bookmarkEnd w:id="5"/>
            <w:r w:rsidDel="00000000" w:rsidR="00000000" w:rsidRPr="00000000">
              <w:rPr>
                <w:rtl w:val="0"/>
              </w:rPr>
              <w:t xml:space="preserve">Do Now: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Do Now of Choice - See Module B and </w:t>
            </w: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u w:val="single"/>
                  <w:rtl w:val="0"/>
                </w:rPr>
                <w:t xml:space="preserve">Do Now Exampl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eg012ngqnyfb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7110"/>
        <w:tblGridChange w:id="0">
          <w:tblGrid>
            <w:gridCol w:w="2250"/>
            <w:gridCol w:w="711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Style w:val="Heading2"/>
              <w:widowControl w:val="0"/>
              <w:spacing w:line="240" w:lineRule="auto"/>
              <w:rPr/>
            </w:pPr>
            <w:bookmarkStart w:colFirst="0" w:colLast="0" w:name="_dyghj2uqan0j" w:id="7"/>
            <w:bookmarkEnd w:id="7"/>
            <w:r w:rsidDel="00000000" w:rsidR="00000000" w:rsidRPr="00000000">
              <w:rPr>
                <w:rtl w:val="0"/>
              </w:rPr>
              <w:t xml:space="preserve">Instruction: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0000ff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What and Why?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: Module </w:t>
            </w: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u w:val="single"/>
                  <w:rtl w:val="0"/>
                </w:rPr>
                <w:t xml:space="preserve">D1 - How Screen Readers Navigate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 and </w:t>
            </w:r>
            <w:hyperlink r:id="rId9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u w:val="single"/>
                  <w:rtl w:val="0"/>
                </w:rPr>
                <w:t xml:space="preserve">D2 - What and Why?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color w:val="0000ff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Screen Readers Navigate from the top left corner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color w:val="0000ff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Methods of navigation are like shortcuts so that you can jump right to the element you want without having to read the entire list.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color w:val="0000ff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Each Method is a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u w:val="single"/>
                <w:rtl w:val="0"/>
              </w:rPr>
              <w:t xml:space="preserve">faster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and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u w:val="single"/>
                <w:rtl w:val="0"/>
              </w:rPr>
              <w:t xml:space="preserve">easier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way to navigate.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0000ff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Vocab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: See Module C and use the </w:t>
            </w:r>
            <w:hyperlink r:id="rId10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u w:val="single"/>
                  <w:rtl w:val="0"/>
                </w:rPr>
                <w:t xml:space="preserve">vocab review quiz in D3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0000ff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Key Commands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: </w:t>
            </w:r>
            <w:hyperlink r:id="rId11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u w:val="single"/>
                  <w:rtl w:val="0"/>
                </w:rPr>
                <w:t xml:space="preserve">Module D4 - Key Commands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0000ff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Patterns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: </w:t>
            </w:r>
            <w:hyperlink r:id="rId12">
              <w:r w:rsidDel="00000000" w:rsidR="00000000" w:rsidRPr="00000000">
                <w:rPr>
                  <w:rFonts w:ascii="Comic Sans MS" w:cs="Comic Sans MS" w:eastAsia="Comic Sans MS" w:hAnsi="Comic Sans MS"/>
                  <w:color w:val="1155cc"/>
                  <w:u w:val="single"/>
                  <w:rtl w:val="0"/>
                </w:rPr>
                <w:t xml:space="preserve">Module D5- Patterns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7110"/>
        <w:tblGridChange w:id="0">
          <w:tblGrid>
            <w:gridCol w:w="2250"/>
            <w:gridCol w:w="711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Style w:val="Heading2"/>
              <w:widowControl w:val="0"/>
              <w:spacing w:line="240" w:lineRule="auto"/>
              <w:rPr/>
            </w:pPr>
            <w:bookmarkStart w:colFirst="0" w:colLast="0" w:name="_bniaepdu6wef" w:id="8"/>
            <w:bookmarkEnd w:id="8"/>
            <w:r w:rsidDel="00000000" w:rsidR="00000000" w:rsidRPr="00000000">
              <w:rPr>
                <w:rtl w:val="0"/>
              </w:rPr>
              <w:t xml:space="preserve">Practice Activity: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0000ff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Module D6 - Mock Websites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7110"/>
        <w:tblGridChange w:id="0">
          <w:tblGrid>
            <w:gridCol w:w="2250"/>
            <w:gridCol w:w="711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2"/>
              <w:widowControl w:val="0"/>
              <w:spacing w:line="240" w:lineRule="auto"/>
              <w:rPr/>
            </w:pPr>
            <w:bookmarkStart w:colFirst="0" w:colLast="0" w:name="_qad9i2mbck33" w:id="9"/>
            <w:bookmarkEnd w:id="9"/>
            <w:r w:rsidDel="00000000" w:rsidR="00000000" w:rsidRPr="00000000">
              <w:rPr>
                <w:rtl w:val="0"/>
              </w:rPr>
              <w:t xml:space="preserve">Assessment Activity: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0000ff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Meaningful Assessment Activity - Use a tool that your learner needs to practice with. Use the “Practically Personalized” data sheet to record progress.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>
          <w:rFonts w:ascii="Comic Sans MS" w:cs="Comic Sans MS" w:eastAsia="Comic Sans MS" w:hAnsi="Comic Sans MS"/>
          <w:color w:val="0000ff"/>
        </w:rPr>
      </w:pPr>
      <w:bookmarkStart w:colFirst="0" w:colLast="0" w:name="_a9bldydeah49" w:id="10"/>
      <w:bookmarkEnd w:id="10"/>
      <w:r w:rsidDel="00000000" w:rsidR="00000000" w:rsidRPr="00000000">
        <w:rPr>
          <w:rtl w:val="0"/>
        </w:rPr>
        <w:t xml:space="preserve">Reflection: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Comic Sans MS" w:cs="Comic Sans MS" w:eastAsia="Comic Sans MS" w:hAnsi="Comic Sans MS"/>
          <w:color w:val="0000ff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905000" cy="7651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5000" cy="765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  <w:t xml:space="preserve">Copyright © 2020 EYET LLC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ourses.eyetvision.com/courses/screen_reader_bin1/lectures/24897112" TargetMode="External"/><Relationship Id="rId10" Type="http://schemas.openxmlformats.org/officeDocument/2006/relationships/hyperlink" Target="https://courses.eyetvision.com/courses/screen_reader_bin1/lectures/24897111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courses.eyetvision.com/courses/screen_reader_bin1/lectures/2489711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urses.eyetvision.com/admin/courses/1158785/curriculum/lectures/24897110" TargetMode="External"/><Relationship Id="rId5" Type="http://schemas.openxmlformats.org/officeDocument/2006/relationships/styles" Target="styles.xml"/><Relationship Id="rId6" Type="http://schemas.openxmlformats.org/officeDocument/2006/relationships/hyperlink" Target="https://eyetvision.com/courses/" TargetMode="External"/><Relationship Id="rId7" Type="http://schemas.openxmlformats.org/officeDocument/2006/relationships/hyperlink" Target="https://docs.google.com/document/d/1NX7wxPi_u1HnzKfSrjY2uT0yVUVEmlYHzj28b4Bf1NY/edit?usp=sharing" TargetMode="External"/><Relationship Id="rId8" Type="http://schemas.openxmlformats.org/officeDocument/2006/relationships/hyperlink" Target="https://courses.eyetvision.com/admin/courses/1158785/curriculum/lectures/24897109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