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35"/>
        <w:tblGridChange w:id="0">
          <w:tblGrid>
            <w:gridCol w:w="10035"/>
          </w:tblGrid>
        </w:tblGridChange>
      </w:tblGrid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Benefits Income Example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305"/>
        <w:gridCol w:w="1230"/>
        <w:gridCol w:w="1350"/>
        <w:gridCol w:w="1575"/>
        <w:gridCol w:w="1695"/>
        <w:gridCol w:w="1545"/>
        <w:tblGridChange w:id="0">
          <w:tblGrid>
            <w:gridCol w:w="1305"/>
            <w:gridCol w:w="1305"/>
            <w:gridCol w:w="1230"/>
            <w:gridCol w:w="1350"/>
            <w:gridCol w:w="1575"/>
            <w:gridCol w:w="1695"/>
            <w:gridCol w:w="1545"/>
          </w:tblGrid>
        </w:tblGridChange>
      </w:tblGrid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Credit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(monthly)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IF…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hd w:fill="d9ead3" w:val="clear"/>
              </w:rPr>
            </w:pPr>
            <w:r w:rsidDel="00000000" w:rsidR="00000000" w:rsidRPr="00000000">
              <w:rPr>
                <w:shd w:fill="d9ead3" w:val="clear"/>
                <w:rtl w:val="0"/>
              </w:rPr>
              <w:t xml:space="preserve">2 Children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IF…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hd w:fill="d9ead3" w:val="clear"/>
                <w:rtl w:val="0"/>
              </w:rPr>
              <w:t xml:space="preserve">Higher 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Standard Allowance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for a married couple (both +25 yrs. old)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594.04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594.04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hd w:fill="d9d2e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594.04</w:t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" w:hanging="72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04800" cy="4191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08625" y="2455450"/>
                                <a:ext cx="284100" cy="40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04800" cy="4191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Housing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950.00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950.00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b w:val="1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Child Allowance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281.25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281.25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(+235.83)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517.08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281.25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517.08</w:t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Child Benefit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21.05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91.21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b w:val="1"/>
                <w:color w:val="0000ff"/>
                <w:shd w:fill="d0e0e3" w:val="clear"/>
              </w:rPr>
            </w:pPr>
            <w:r w:rsidDel="00000000" w:rsidR="00000000" w:rsidRPr="00000000">
              <w:rPr>
                <w:b w:val="1"/>
                <w:color w:val="0000ff"/>
                <w:shd w:fill="d9ead3" w:val="clear"/>
                <w:rtl w:val="0"/>
              </w:rPr>
              <w:t xml:space="preserve">(+</w:t>
            </w:r>
            <w:r w:rsidDel="00000000" w:rsidR="00000000" w:rsidRPr="00000000">
              <w:rPr>
                <w:b w:val="1"/>
                <w:color w:val="0000ff"/>
                <w:shd w:fill="d0e0e3" w:val="clear"/>
                <w:rtl w:val="0"/>
              </w:rPr>
              <w:t xml:space="preserve">13.95)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2nd Child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b w:val="1"/>
                <w:color w:val="0000ff"/>
                <w:shd w:fill="d9ead3" w:val="clear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151.66/month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91.21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151.66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Monthly Benefits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1916.50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(966.50)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post-rent allowance if rent is 950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hd w:fill="d9d2e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b w:val="1"/>
                <w:color w:val="a64d79"/>
                <w:rtl w:val="0"/>
              </w:rPr>
              <w:t xml:space="preserve">*1966.50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b w:val="1"/>
                <w:color w:val="a64d79"/>
                <w:rtl w:val="0"/>
              </w:rPr>
              <w:t xml:space="preserve">(916.67)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b w:val="1"/>
                <w:color w:val="a64d79"/>
              </w:rPr>
            </w:pPr>
            <w:r w:rsidDel="00000000" w:rsidR="00000000" w:rsidRPr="00000000">
              <w:rPr>
                <w:b w:val="1"/>
                <w:color w:val="a64d79"/>
                <w:rtl w:val="0"/>
              </w:rPr>
              <w:t xml:space="preserve">Post-rent allowance if rent is 1000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4B">
      <w:pPr>
        <w:jc w:val="left"/>
        <w:rPr>
          <w:color w:val="a64d79"/>
        </w:rPr>
      </w:pPr>
      <w:r w:rsidDel="00000000" w:rsidR="00000000" w:rsidRPr="00000000">
        <w:rPr>
          <w:color w:val="a64d79"/>
          <w:rtl w:val="0"/>
        </w:rPr>
        <w:t xml:space="preserve">*claim exceeds the monthly benefit cap:</w:t>
      </w:r>
    </w:p>
    <w:p w:rsidR="00000000" w:rsidDel="00000000" w:rsidP="00000000" w:rsidRDefault="00000000" w:rsidRPr="00000000" w14:paraId="0000004C">
      <w:pPr>
        <w:jc w:val="left"/>
        <w:rPr>
          <w:color w:val="66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  <w:color w:val="66666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Benefit cap is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6"/>
          <w:szCs w:val="26"/>
          <w:rtl w:val="0"/>
        </w:rPr>
        <w:t xml:space="preserve">£1916.67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 per month.</w:t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  <w:color w:val="66666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Benefit cap does not apply if the claimant receives disability payments. </w:t>
      </w:r>
    </w:p>
    <w:p w:rsidR="00000000" w:rsidDel="00000000" w:rsidP="00000000" w:rsidRDefault="00000000" w:rsidRPr="00000000" w14:paraId="0000004F">
      <w:pPr>
        <w:spacing w:after="40" w:lineRule="auto"/>
        <w:jc w:val="left"/>
        <w:rPr>
          <w:rFonts w:ascii="Times New Roman" w:cs="Times New Roman" w:eastAsia="Times New Roman" w:hAnsi="Times New Roman"/>
          <w:i w:val="1"/>
          <w:color w:val="9999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66666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Camden LHA Rates:</w:t>
      </w:r>
    </w:p>
    <w:p w:rsidR="00000000" w:rsidDel="00000000" w:rsidP="00000000" w:rsidRDefault="00000000" w:rsidRPr="00000000" w14:paraId="00000051">
      <w:pPr>
        <w:spacing w:after="40" w:lineRule="auto"/>
        <w:rPr>
          <w:rFonts w:ascii="Times New Roman" w:cs="Times New Roman" w:eastAsia="Times New Roman" w:hAnsi="Times New Roman"/>
          <w:b w:val="1"/>
          <w:color w:val="666666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highlight w:val="white"/>
          <w:rtl w:val="0"/>
        </w:rPr>
        <w:t xml:space="preserve">One Bedroom Rate: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6"/>
          <w:szCs w:val="26"/>
          <w:highlight w:val="white"/>
          <w:rtl w:val="0"/>
        </w:rPr>
        <w:t xml:space="preserve">£295.49 per week (1280.45/month)</w:t>
      </w:r>
    </w:p>
    <w:p w:rsidR="00000000" w:rsidDel="00000000" w:rsidP="00000000" w:rsidRDefault="00000000" w:rsidRPr="00000000" w14:paraId="00000052">
      <w:pPr>
        <w:spacing w:after="40" w:lineRule="auto"/>
        <w:rPr>
          <w:i w:val="1"/>
          <w:color w:val="99999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highlight w:val="white"/>
          <w:rtl w:val="0"/>
        </w:rPr>
        <w:t xml:space="preserve">Two Bedrooms Rate: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6"/>
          <w:szCs w:val="26"/>
          <w:highlight w:val="white"/>
          <w:rtl w:val="0"/>
        </w:rPr>
        <w:t xml:space="preserve">£365.92 per week (1585.65/month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