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7A" w:rsidRPr="00DB79A2" w:rsidRDefault="00CF7F7A" w:rsidP="00CF7F7A">
      <w:pPr>
        <w:tabs>
          <w:tab w:val="left" w:pos="709"/>
        </w:tabs>
        <w:spacing w:line="276" w:lineRule="auto"/>
        <w:jc w:val="center"/>
        <w:rPr>
          <w:rFonts w:eastAsia="Calibri"/>
          <w:b/>
          <w:sz w:val="28"/>
        </w:rPr>
      </w:pPr>
      <w:r w:rsidRPr="00DB79A2">
        <w:rPr>
          <w:rFonts w:eastAsia="Calibri"/>
          <w:b/>
          <w:sz w:val="28"/>
        </w:rPr>
        <w:t>ANNEX K</w:t>
      </w:r>
    </w:p>
    <w:p w:rsidR="00B168FA" w:rsidRPr="00DB79A2" w:rsidRDefault="00CF7F7A" w:rsidP="0074131C">
      <w:pPr>
        <w:tabs>
          <w:tab w:val="left" w:pos="709"/>
        </w:tabs>
        <w:spacing w:line="276" w:lineRule="auto"/>
        <w:jc w:val="center"/>
        <w:rPr>
          <w:rFonts w:eastAsia="Calibri"/>
          <w:b/>
          <w:sz w:val="28"/>
        </w:rPr>
      </w:pPr>
      <w:r w:rsidRPr="00C750B2">
        <w:rPr>
          <w:rFonts w:eastAsia="Calibri"/>
          <w:b/>
          <w:sz w:val="28"/>
        </w:rPr>
        <w:t>GUIDE</w:t>
      </w:r>
      <w:r w:rsidR="006A041E" w:rsidRPr="00C750B2">
        <w:rPr>
          <w:rFonts w:eastAsia="Calibri"/>
          <w:b/>
          <w:sz w:val="28"/>
        </w:rPr>
        <w:t>LINES</w:t>
      </w:r>
      <w:r w:rsidRPr="002D54E1">
        <w:rPr>
          <w:rFonts w:eastAsia="Calibri"/>
          <w:b/>
          <w:color w:val="BFBFBF"/>
          <w:sz w:val="28"/>
        </w:rPr>
        <w:t xml:space="preserve"> </w:t>
      </w:r>
      <w:r w:rsidR="0074131C" w:rsidRPr="00C602B5">
        <w:rPr>
          <w:rFonts w:eastAsia="Calibri"/>
          <w:b/>
          <w:sz w:val="28"/>
        </w:rPr>
        <w:t>for</w:t>
      </w:r>
      <w:r w:rsidR="0074131C">
        <w:rPr>
          <w:rFonts w:eastAsia="Calibri"/>
          <w:b/>
          <w:color w:val="BFBFBF"/>
          <w:sz w:val="28"/>
        </w:rPr>
        <w:t xml:space="preserve"> </w:t>
      </w:r>
      <w:r w:rsidRPr="00C602B5">
        <w:rPr>
          <w:rFonts w:eastAsia="Calibri"/>
          <w:b/>
          <w:sz w:val="28"/>
        </w:rPr>
        <w:t>SIM</w:t>
      </w:r>
      <w:r w:rsidR="006A041E" w:rsidRPr="00C602B5">
        <w:rPr>
          <w:rFonts w:eastAsia="Calibri"/>
          <w:b/>
          <w:sz w:val="28"/>
        </w:rPr>
        <w:t>P</w:t>
      </w:r>
      <w:r w:rsidRPr="00C602B5">
        <w:rPr>
          <w:rFonts w:eastAsia="Calibri"/>
          <w:b/>
          <w:sz w:val="28"/>
        </w:rPr>
        <w:t>LIFIED COST OPTIONS</w:t>
      </w:r>
      <w:r w:rsidR="00F56F30" w:rsidRPr="00DB79A2">
        <w:rPr>
          <w:rFonts w:eastAsia="Calibri"/>
          <w:b/>
          <w:sz w:val="28"/>
        </w:rPr>
        <w:t xml:space="preserve"> </w:t>
      </w:r>
    </w:p>
    <w:p w:rsidR="00CF3686" w:rsidRPr="00DB79A2" w:rsidRDefault="008308FC" w:rsidP="00CF3686">
      <w:pPr>
        <w:tabs>
          <w:tab w:val="left" w:pos="709"/>
        </w:tabs>
        <w:spacing w:line="276" w:lineRule="auto"/>
        <w:jc w:val="center"/>
        <w:rPr>
          <w:rFonts w:eastAsia="Calibri"/>
          <w:b/>
          <w:sz w:val="28"/>
        </w:rPr>
      </w:pPr>
      <w:r>
        <w:rPr>
          <w:rFonts w:eastAsia="Calibri"/>
          <w:b/>
          <w:sz w:val="28"/>
        </w:rPr>
        <w:t>F</w:t>
      </w:r>
      <w:r w:rsidR="00F56F30" w:rsidRPr="00DB79A2">
        <w:rPr>
          <w:rFonts w:eastAsia="Calibri"/>
          <w:b/>
          <w:sz w:val="28"/>
        </w:rPr>
        <w:t>or</w:t>
      </w:r>
      <w:r w:rsidR="008715EB" w:rsidRPr="00DB79A2">
        <w:rPr>
          <w:rFonts w:eastAsia="Calibri"/>
          <w:b/>
          <w:sz w:val="28"/>
          <w:szCs w:val="22"/>
          <w:lang w:eastAsia="en-US"/>
        </w:rPr>
        <w:t xml:space="preserve"> </w:t>
      </w:r>
      <w:r w:rsidR="00CF3686" w:rsidRPr="00DB79A2">
        <w:rPr>
          <w:rFonts w:eastAsia="Calibri"/>
          <w:b/>
          <w:sz w:val="28"/>
          <w:szCs w:val="22"/>
          <w:lang w:eastAsia="en-US"/>
        </w:rPr>
        <w:t>U</w:t>
      </w:r>
      <w:r w:rsidR="00F56F30" w:rsidRPr="00DB79A2">
        <w:rPr>
          <w:rFonts w:eastAsia="Calibri"/>
          <w:b/>
          <w:sz w:val="28"/>
          <w:szCs w:val="22"/>
          <w:lang w:eastAsia="en-US"/>
        </w:rPr>
        <w:t>nion</w:t>
      </w:r>
      <w:r w:rsidR="00CF3686" w:rsidRPr="00DB79A2">
        <w:rPr>
          <w:rFonts w:eastAsia="Calibri"/>
          <w:b/>
          <w:sz w:val="28"/>
          <w:szCs w:val="22"/>
          <w:lang w:eastAsia="en-US"/>
        </w:rPr>
        <w:t xml:space="preserve"> </w:t>
      </w:r>
      <w:r w:rsidR="00F56F30" w:rsidRPr="00DB79A2">
        <w:rPr>
          <w:rFonts w:eastAsia="Calibri"/>
          <w:b/>
          <w:sz w:val="28"/>
          <w:szCs w:val="22"/>
          <w:lang w:eastAsia="en-US"/>
        </w:rPr>
        <w:t>financed</w:t>
      </w:r>
      <w:r w:rsidR="00CF3686" w:rsidRPr="00DB79A2">
        <w:rPr>
          <w:rFonts w:eastAsia="Calibri"/>
          <w:b/>
          <w:sz w:val="28"/>
          <w:szCs w:val="22"/>
          <w:lang w:eastAsia="en-US"/>
        </w:rPr>
        <w:t xml:space="preserve"> GRANT CONTRACTS</w:t>
      </w:r>
      <w:r w:rsidR="00A337E3">
        <w:rPr>
          <w:rFonts w:eastAsia="Calibri"/>
          <w:b/>
          <w:sz w:val="28"/>
          <w:szCs w:val="22"/>
          <w:lang w:eastAsia="en-US"/>
        </w:rPr>
        <w:t xml:space="preserve"> </w:t>
      </w:r>
      <w:r>
        <w:rPr>
          <w:rFonts w:eastAsia="Calibri"/>
          <w:b/>
          <w:sz w:val="28"/>
          <w:szCs w:val="22"/>
          <w:lang w:eastAsia="en-US"/>
        </w:rPr>
        <w:br/>
      </w:r>
      <w:r w:rsidR="00A337E3">
        <w:rPr>
          <w:rFonts w:eastAsia="Calibri"/>
          <w:b/>
          <w:sz w:val="28"/>
          <w:szCs w:val="22"/>
          <w:lang w:eastAsia="en-US"/>
        </w:rPr>
        <w:t>awarded through Call for Proposals</w:t>
      </w:r>
    </w:p>
    <w:p w:rsidR="00CF7F7A" w:rsidRPr="00DB79A2" w:rsidRDefault="00CF7F7A" w:rsidP="00CF7F7A">
      <w:pPr>
        <w:spacing w:before="120" w:after="120"/>
        <w:jc w:val="center"/>
      </w:pPr>
    </w:p>
    <w:p w:rsidR="00DE58E0" w:rsidRPr="004F56B9" w:rsidRDefault="00D63E8E" w:rsidP="00BF439F">
      <w:pPr>
        <w:spacing w:before="120" w:after="120"/>
        <w:jc w:val="both"/>
        <w:rPr>
          <w:b/>
          <w:sz w:val="24"/>
          <w:szCs w:val="24"/>
        </w:rPr>
      </w:pPr>
      <w:r>
        <w:rPr>
          <w:b/>
          <w:sz w:val="24"/>
          <w:szCs w:val="24"/>
        </w:rPr>
        <w:t xml:space="preserve">1. </w:t>
      </w:r>
      <w:r w:rsidR="00DE58E0" w:rsidRPr="004F56B9">
        <w:rPr>
          <w:b/>
          <w:sz w:val="24"/>
          <w:szCs w:val="24"/>
        </w:rPr>
        <w:t>Introduction</w:t>
      </w:r>
    </w:p>
    <w:p w:rsidR="00875885" w:rsidRPr="00DB79A2" w:rsidRDefault="000130E1" w:rsidP="00BF439F">
      <w:pPr>
        <w:spacing w:before="60" w:after="60"/>
        <w:jc w:val="both"/>
        <w:rPr>
          <w:sz w:val="22"/>
        </w:rPr>
      </w:pPr>
      <w:r w:rsidRPr="000130E1">
        <w:rPr>
          <w:sz w:val="22"/>
          <w:szCs w:val="22"/>
        </w:rPr>
        <w:t>In the context of grants awarded through calls for proposals, only the following SCOs can be proposed by applicants</w:t>
      </w:r>
      <w:r w:rsidR="00875885" w:rsidRPr="00DB79A2">
        <w:rPr>
          <w:sz w:val="22"/>
          <w:szCs w:val="22"/>
        </w:rPr>
        <w:t>:</w:t>
      </w:r>
    </w:p>
    <w:p w:rsidR="00875885" w:rsidRPr="00DB79A2" w:rsidRDefault="00875885" w:rsidP="00BF439F">
      <w:pPr>
        <w:spacing w:before="60" w:after="60"/>
        <w:ind w:left="567" w:hanging="284"/>
        <w:jc w:val="both"/>
        <w:rPr>
          <w:sz w:val="22"/>
          <w:szCs w:val="22"/>
        </w:rPr>
      </w:pPr>
      <w:r w:rsidRPr="00DB79A2">
        <w:rPr>
          <w:sz w:val="22"/>
          <w:szCs w:val="22"/>
        </w:rPr>
        <w:t>-</w:t>
      </w:r>
      <w:r w:rsidR="008715EB" w:rsidRPr="00DB79A2">
        <w:rPr>
          <w:sz w:val="22"/>
          <w:szCs w:val="22"/>
        </w:rPr>
        <w:tab/>
      </w:r>
      <w:r w:rsidRPr="00DB79A2">
        <w:rPr>
          <w:b/>
          <w:sz w:val="22"/>
          <w:szCs w:val="22"/>
        </w:rPr>
        <w:t>unit costs:</w:t>
      </w:r>
      <w:r w:rsidRPr="00DB79A2">
        <w:rPr>
          <w:sz w:val="22"/>
          <w:szCs w:val="22"/>
        </w:rPr>
        <w:t xml:space="preserve"> </w:t>
      </w:r>
      <w:r w:rsidR="00C1166C" w:rsidRPr="00DB79A2">
        <w:rPr>
          <w:sz w:val="22"/>
          <w:szCs w:val="22"/>
        </w:rPr>
        <w:t>the</w:t>
      </w:r>
      <w:r w:rsidR="008715EB" w:rsidRPr="00DB79A2">
        <w:rPr>
          <w:sz w:val="22"/>
          <w:szCs w:val="22"/>
        </w:rPr>
        <w:t xml:space="preserve">se </w:t>
      </w:r>
      <w:r w:rsidRPr="00DB79A2">
        <w:rPr>
          <w:sz w:val="22"/>
          <w:szCs w:val="22"/>
        </w:rPr>
        <w:t>cover</w:t>
      </w:r>
      <w:r w:rsidR="00C1166C" w:rsidRPr="00DB79A2">
        <w:rPr>
          <w:sz w:val="22"/>
          <w:szCs w:val="22"/>
        </w:rPr>
        <w:t xml:space="preserve"> </w:t>
      </w:r>
      <w:r w:rsidRPr="00DB79A2">
        <w:rPr>
          <w:sz w:val="22"/>
          <w:szCs w:val="22"/>
        </w:rPr>
        <w:t xml:space="preserve">all or certain specific categories of eligible costs which </w:t>
      </w:r>
      <w:r w:rsidR="006B39C5">
        <w:rPr>
          <w:sz w:val="22"/>
          <w:szCs w:val="22"/>
        </w:rPr>
        <w:t>are</w:t>
      </w:r>
      <w:r w:rsidR="008715EB" w:rsidRPr="00DB79A2">
        <w:rPr>
          <w:sz w:val="22"/>
          <w:szCs w:val="22"/>
        </w:rPr>
        <w:t xml:space="preserve"> </w:t>
      </w:r>
      <w:r w:rsidRPr="00DB79A2">
        <w:rPr>
          <w:sz w:val="22"/>
          <w:szCs w:val="22"/>
        </w:rPr>
        <w:t xml:space="preserve">clearly identified </w:t>
      </w:r>
      <w:r w:rsidR="00D156BF" w:rsidRPr="00DB79A2">
        <w:rPr>
          <w:sz w:val="22"/>
          <w:szCs w:val="22"/>
        </w:rPr>
        <w:t>(</w:t>
      </w:r>
      <w:r w:rsidR="008715EB" w:rsidRPr="00DB79A2">
        <w:rPr>
          <w:sz w:val="22"/>
          <w:szCs w:val="22"/>
        </w:rPr>
        <w:t>a</w:t>
      </w:r>
      <w:r w:rsidR="00D156BF" w:rsidRPr="00DB79A2">
        <w:rPr>
          <w:sz w:val="22"/>
          <w:szCs w:val="22"/>
        </w:rPr>
        <w:t>s</w:t>
      </w:r>
      <w:r w:rsidR="008715EB" w:rsidRPr="00DB79A2">
        <w:rPr>
          <w:sz w:val="22"/>
          <w:szCs w:val="22"/>
        </w:rPr>
        <w:t xml:space="preserve"> indicated in the </w:t>
      </w:r>
      <w:r w:rsidR="00F56690">
        <w:rPr>
          <w:sz w:val="22"/>
          <w:szCs w:val="22"/>
        </w:rPr>
        <w:t>b</w:t>
      </w:r>
      <w:r w:rsidR="008715EB" w:rsidRPr="00DB79A2">
        <w:rPr>
          <w:sz w:val="22"/>
          <w:szCs w:val="22"/>
        </w:rPr>
        <w:t>udget at proposal stage</w:t>
      </w:r>
      <w:r w:rsidR="00D156BF" w:rsidRPr="00DB79A2">
        <w:rPr>
          <w:sz w:val="22"/>
          <w:szCs w:val="22"/>
        </w:rPr>
        <w:t>)</w:t>
      </w:r>
      <w:r w:rsidR="008715EB" w:rsidRPr="00DB79A2">
        <w:rPr>
          <w:sz w:val="22"/>
          <w:szCs w:val="22"/>
        </w:rPr>
        <w:t xml:space="preserve"> and</w:t>
      </w:r>
      <w:r w:rsidR="00D156BF" w:rsidRPr="00DB79A2">
        <w:rPr>
          <w:sz w:val="22"/>
          <w:szCs w:val="22"/>
        </w:rPr>
        <w:t xml:space="preserve"> are</w:t>
      </w:r>
      <w:r w:rsidR="008715EB" w:rsidRPr="00DB79A2">
        <w:rPr>
          <w:sz w:val="22"/>
          <w:szCs w:val="22"/>
        </w:rPr>
        <w:t xml:space="preserve"> expressed in </w:t>
      </w:r>
      <w:r w:rsidRPr="00DB79A2">
        <w:rPr>
          <w:sz w:val="22"/>
          <w:szCs w:val="22"/>
          <w:u w:val="single"/>
        </w:rPr>
        <w:t>amount</w:t>
      </w:r>
      <w:r w:rsidR="008715EB" w:rsidRPr="00DB79A2">
        <w:rPr>
          <w:sz w:val="22"/>
          <w:szCs w:val="22"/>
          <w:u w:val="single"/>
        </w:rPr>
        <w:t>s</w:t>
      </w:r>
      <w:r w:rsidRPr="00DB79A2">
        <w:rPr>
          <w:sz w:val="22"/>
          <w:szCs w:val="22"/>
          <w:u w:val="single"/>
        </w:rPr>
        <w:t xml:space="preserve"> per unit</w:t>
      </w:r>
      <w:r w:rsidRPr="00DB79A2">
        <w:rPr>
          <w:sz w:val="22"/>
          <w:szCs w:val="22"/>
        </w:rPr>
        <w:t>.</w:t>
      </w:r>
    </w:p>
    <w:p w:rsidR="000130E1" w:rsidRPr="0014353B" w:rsidRDefault="00875885" w:rsidP="00845475">
      <w:pPr>
        <w:ind w:left="1560" w:hanging="851"/>
        <w:jc w:val="both"/>
        <w:rPr>
          <w:i/>
          <w:sz w:val="22"/>
        </w:rPr>
      </w:pPr>
      <w:r w:rsidRPr="0014353B">
        <w:rPr>
          <w:i/>
          <w:sz w:val="22"/>
        </w:rPr>
        <w:t>Example:</w:t>
      </w:r>
      <w:r w:rsidRPr="0014353B">
        <w:rPr>
          <w:sz w:val="22"/>
          <w:szCs w:val="22"/>
        </w:rPr>
        <w:t xml:space="preserve"> </w:t>
      </w:r>
      <w:r w:rsidR="00E7550C">
        <w:rPr>
          <w:i/>
          <w:sz w:val="22"/>
        </w:rPr>
        <w:t>u</w:t>
      </w:r>
      <w:r w:rsidR="000130E1">
        <w:rPr>
          <w:i/>
          <w:sz w:val="22"/>
        </w:rPr>
        <w:t>nit cost per brochure produced and delivered to participants in the context of a seminar;</w:t>
      </w:r>
      <w:r w:rsidR="00B82927">
        <w:rPr>
          <w:i/>
          <w:sz w:val="22"/>
          <w:szCs w:val="22"/>
        </w:rPr>
        <w:t xml:space="preserve"> </w:t>
      </w:r>
      <w:r w:rsidR="008715EB" w:rsidRPr="0014353B">
        <w:rPr>
          <w:i/>
          <w:sz w:val="22"/>
          <w:szCs w:val="22"/>
        </w:rPr>
        <w:t>unit</w:t>
      </w:r>
      <w:r w:rsidR="009046CE">
        <w:rPr>
          <w:i/>
          <w:sz w:val="22"/>
          <w:szCs w:val="22"/>
        </w:rPr>
        <w:t xml:space="preserve"> </w:t>
      </w:r>
      <w:r w:rsidR="00D156BF" w:rsidRPr="0014353B">
        <w:rPr>
          <w:i/>
          <w:sz w:val="22"/>
          <w:szCs w:val="22"/>
        </w:rPr>
        <w:t>cost</w:t>
      </w:r>
      <w:r w:rsidR="008715EB" w:rsidRPr="0014353B">
        <w:rPr>
          <w:i/>
          <w:sz w:val="22"/>
          <w:szCs w:val="22"/>
        </w:rPr>
        <w:t>s for</w:t>
      </w:r>
      <w:r w:rsidR="008715EB" w:rsidRPr="0014353B">
        <w:rPr>
          <w:i/>
          <w:sz w:val="22"/>
        </w:rPr>
        <w:t xml:space="preserve"> </w:t>
      </w:r>
      <w:r w:rsidRPr="0014353B">
        <w:rPr>
          <w:i/>
          <w:sz w:val="22"/>
        </w:rPr>
        <w:t xml:space="preserve">small local transportation or other expenses in </w:t>
      </w:r>
      <w:r w:rsidR="000130E1">
        <w:rPr>
          <w:i/>
          <w:sz w:val="22"/>
        </w:rPr>
        <w:t xml:space="preserve">the context of </w:t>
      </w:r>
      <w:r w:rsidR="00E50A0B">
        <w:rPr>
          <w:i/>
          <w:sz w:val="22"/>
        </w:rPr>
        <w:t xml:space="preserve">specific activities such as </w:t>
      </w:r>
      <w:r w:rsidR="00800FFB">
        <w:rPr>
          <w:i/>
          <w:sz w:val="22"/>
        </w:rPr>
        <w:t xml:space="preserve">a </w:t>
      </w:r>
      <w:r w:rsidR="000130E1">
        <w:rPr>
          <w:i/>
          <w:sz w:val="22"/>
        </w:rPr>
        <w:t xml:space="preserve">vaccine distribution </w:t>
      </w:r>
      <w:r w:rsidR="008715EB" w:rsidRPr="0014353B">
        <w:rPr>
          <w:i/>
          <w:sz w:val="22"/>
          <w:szCs w:val="22"/>
        </w:rPr>
        <w:t xml:space="preserve">(often in expense categories </w:t>
      </w:r>
      <w:r w:rsidR="008715EB" w:rsidRPr="0014353B">
        <w:rPr>
          <w:i/>
          <w:sz w:val="22"/>
        </w:rPr>
        <w:t xml:space="preserve">with </w:t>
      </w:r>
      <w:r w:rsidR="008715EB" w:rsidRPr="0014353B">
        <w:rPr>
          <w:i/>
          <w:sz w:val="22"/>
          <w:szCs w:val="22"/>
        </w:rPr>
        <w:t>many small value items and/</w:t>
      </w:r>
      <w:r w:rsidR="008715EB" w:rsidRPr="0014353B">
        <w:rPr>
          <w:i/>
          <w:sz w:val="22"/>
        </w:rPr>
        <w:t xml:space="preserve">or </w:t>
      </w:r>
      <w:r w:rsidR="008715EB" w:rsidRPr="0014353B">
        <w:rPr>
          <w:i/>
          <w:sz w:val="22"/>
          <w:szCs w:val="22"/>
        </w:rPr>
        <w:t>with  poor documentation)</w:t>
      </w:r>
      <w:r w:rsidRPr="0014353B">
        <w:rPr>
          <w:i/>
          <w:sz w:val="22"/>
        </w:rPr>
        <w:t>,</w:t>
      </w:r>
      <w:r w:rsidR="00E50A0B" w:rsidRPr="00E50A0B">
        <w:rPr>
          <w:i/>
          <w:sz w:val="22"/>
        </w:rPr>
        <w:t xml:space="preserve"> </w:t>
      </w:r>
      <w:r w:rsidRPr="0014353B">
        <w:rPr>
          <w:i/>
          <w:sz w:val="22"/>
        </w:rPr>
        <w:t>etc.</w:t>
      </w:r>
    </w:p>
    <w:p w:rsidR="00875885" w:rsidRPr="00DB79A2" w:rsidRDefault="00875885" w:rsidP="00BF439F">
      <w:pPr>
        <w:spacing w:before="60" w:after="60"/>
        <w:ind w:left="567" w:hanging="284"/>
        <w:jc w:val="both"/>
        <w:rPr>
          <w:sz w:val="22"/>
          <w:szCs w:val="22"/>
        </w:rPr>
      </w:pPr>
      <w:r w:rsidRPr="00DB79A2">
        <w:rPr>
          <w:b/>
          <w:sz w:val="22"/>
          <w:szCs w:val="22"/>
        </w:rPr>
        <w:t>-</w:t>
      </w:r>
      <w:r w:rsidR="008715EB" w:rsidRPr="00DB79A2">
        <w:rPr>
          <w:b/>
          <w:sz w:val="22"/>
          <w:szCs w:val="22"/>
        </w:rPr>
        <w:tab/>
      </w:r>
      <w:r w:rsidRPr="00DB79A2">
        <w:rPr>
          <w:b/>
          <w:sz w:val="22"/>
          <w:szCs w:val="22"/>
        </w:rPr>
        <w:t>lump sums:</w:t>
      </w:r>
      <w:r w:rsidR="00C1166C" w:rsidRPr="00DB79A2">
        <w:rPr>
          <w:b/>
          <w:sz w:val="22"/>
          <w:szCs w:val="22"/>
        </w:rPr>
        <w:t xml:space="preserve"> </w:t>
      </w:r>
      <w:r w:rsidR="00C1166C" w:rsidRPr="00DB79A2">
        <w:rPr>
          <w:sz w:val="22"/>
          <w:szCs w:val="22"/>
        </w:rPr>
        <w:t>th</w:t>
      </w:r>
      <w:r w:rsidR="008715EB" w:rsidRPr="00DB79A2">
        <w:rPr>
          <w:sz w:val="22"/>
          <w:szCs w:val="22"/>
        </w:rPr>
        <w:t>ese</w:t>
      </w:r>
      <w:r w:rsidR="00C1166C" w:rsidRPr="00DB79A2">
        <w:rPr>
          <w:b/>
          <w:sz w:val="22"/>
          <w:szCs w:val="22"/>
        </w:rPr>
        <w:t xml:space="preserve"> </w:t>
      </w:r>
      <w:r w:rsidRPr="00DB79A2">
        <w:rPr>
          <w:sz w:val="22"/>
          <w:szCs w:val="22"/>
        </w:rPr>
        <w:t xml:space="preserve">cover in </w:t>
      </w:r>
      <w:r w:rsidRPr="00DB79A2">
        <w:rPr>
          <w:sz w:val="22"/>
          <w:szCs w:val="22"/>
          <w:u w:val="single"/>
        </w:rPr>
        <w:t>global terms</w:t>
      </w:r>
      <w:r w:rsidRPr="00DB79A2">
        <w:rPr>
          <w:sz w:val="22"/>
          <w:szCs w:val="22"/>
        </w:rPr>
        <w:t xml:space="preserve"> all or certain specific categories of eligible costs which </w:t>
      </w:r>
      <w:r w:rsidR="008715EB" w:rsidRPr="00DB79A2">
        <w:rPr>
          <w:sz w:val="22"/>
          <w:szCs w:val="22"/>
        </w:rPr>
        <w:t>can be</w:t>
      </w:r>
      <w:r w:rsidR="00CF61E0" w:rsidRPr="00DB79A2">
        <w:rPr>
          <w:sz w:val="22"/>
          <w:szCs w:val="22"/>
        </w:rPr>
        <w:t xml:space="preserve"> </w:t>
      </w:r>
      <w:r w:rsidR="008715EB" w:rsidRPr="00DB79A2">
        <w:rPr>
          <w:sz w:val="22"/>
          <w:szCs w:val="22"/>
        </w:rPr>
        <w:t xml:space="preserve">clearly identified </w:t>
      </w:r>
      <w:r w:rsidR="006504D9" w:rsidRPr="00DB79A2">
        <w:rPr>
          <w:sz w:val="22"/>
          <w:szCs w:val="22"/>
        </w:rPr>
        <w:t xml:space="preserve"> (</w:t>
      </w:r>
      <w:r w:rsidR="008715EB" w:rsidRPr="00DB79A2">
        <w:rPr>
          <w:sz w:val="22"/>
          <w:szCs w:val="22"/>
        </w:rPr>
        <w:t>a</w:t>
      </w:r>
      <w:r w:rsidR="006504D9" w:rsidRPr="00DB79A2">
        <w:rPr>
          <w:sz w:val="22"/>
          <w:szCs w:val="22"/>
        </w:rPr>
        <w:t>s</w:t>
      </w:r>
      <w:r w:rsidR="008715EB" w:rsidRPr="00DB79A2">
        <w:rPr>
          <w:sz w:val="22"/>
          <w:szCs w:val="22"/>
        </w:rPr>
        <w:t xml:space="preserve"> indicated in the </w:t>
      </w:r>
      <w:r w:rsidR="00F56690">
        <w:rPr>
          <w:sz w:val="22"/>
          <w:szCs w:val="22"/>
        </w:rPr>
        <w:t>b</w:t>
      </w:r>
      <w:r w:rsidR="008715EB" w:rsidRPr="00DB79A2">
        <w:rPr>
          <w:sz w:val="22"/>
          <w:szCs w:val="22"/>
        </w:rPr>
        <w:t>udget at proposal stage</w:t>
      </w:r>
      <w:r w:rsidR="006504D9" w:rsidRPr="00DB79A2">
        <w:rPr>
          <w:sz w:val="22"/>
          <w:szCs w:val="22"/>
        </w:rPr>
        <w:t>)</w:t>
      </w:r>
      <w:r w:rsidRPr="00DB79A2">
        <w:rPr>
          <w:sz w:val="22"/>
          <w:szCs w:val="22"/>
        </w:rPr>
        <w:t>.</w:t>
      </w:r>
    </w:p>
    <w:p w:rsidR="00875885" w:rsidRPr="0014353B" w:rsidRDefault="00875885" w:rsidP="00BF439F">
      <w:pPr>
        <w:ind w:left="1560" w:hanging="850"/>
        <w:jc w:val="both"/>
        <w:rPr>
          <w:i/>
          <w:sz w:val="22"/>
          <w:szCs w:val="22"/>
        </w:rPr>
      </w:pPr>
      <w:r w:rsidRPr="0014353B">
        <w:rPr>
          <w:i/>
          <w:sz w:val="22"/>
          <w:szCs w:val="22"/>
        </w:rPr>
        <w:t xml:space="preserve">Example: global cost for the organisation of an opening event, global cost for the production of </w:t>
      </w:r>
      <w:r w:rsidR="00DB79E9" w:rsidRPr="0014353B">
        <w:rPr>
          <w:i/>
          <w:sz w:val="22"/>
          <w:szCs w:val="22"/>
        </w:rPr>
        <w:t>information</w:t>
      </w:r>
      <w:r w:rsidRPr="0014353B">
        <w:rPr>
          <w:i/>
          <w:sz w:val="22"/>
          <w:szCs w:val="22"/>
        </w:rPr>
        <w:t xml:space="preserve"> video</w:t>
      </w:r>
      <w:r w:rsidR="00DB79E9" w:rsidRPr="0014353B">
        <w:rPr>
          <w:i/>
          <w:sz w:val="22"/>
          <w:szCs w:val="22"/>
        </w:rPr>
        <w:t>s</w:t>
      </w:r>
      <w:r w:rsidRPr="0014353B">
        <w:rPr>
          <w:i/>
          <w:sz w:val="22"/>
          <w:szCs w:val="22"/>
        </w:rPr>
        <w:t xml:space="preserve"> etc.</w:t>
      </w:r>
    </w:p>
    <w:p w:rsidR="00D12A88" w:rsidRPr="00DB79A2" w:rsidRDefault="00875885" w:rsidP="00BF439F">
      <w:pPr>
        <w:spacing w:before="60" w:after="60"/>
        <w:ind w:left="567" w:hanging="284"/>
        <w:jc w:val="both"/>
        <w:rPr>
          <w:sz w:val="22"/>
          <w:szCs w:val="22"/>
        </w:rPr>
      </w:pPr>
      <w:r w:rsidRPr="00DB79A2">
        <w:rPr>
          <w:b/>
          <w:sz w:val="22"/>
          <w:szCs w:val="22"/>
        </w:rPr>
        <w:t>-</w:t>
      </w:r>
      <w:r w:rsidR="008715EB" w:rsidRPr="00DB79A2">
        <w:rPr>
          <w:b/>
          <w:sz w:val="22"/>
          <w:szCs w:val="22"/>
        </w:rPr>
        <w:tab/>
      </w:r>
      <w:r w:rsidRPr="00DB79A2">
        <w:rPr>
          <w:b/>
          <w:sz w:val="22"/>
          <w:szCs w:val="22"/>
        </w:rPr>
        <w:t>flat</w:t>
      </w:r>
      <w:r w:rsidR="008308FC">
        <w:rPr>
          <w:b/>
          <w:sz w:val="22"/>
          <w:szCs w:val="22"/>
        </w:rPr>
        <w:t xml:space="preserve"> </w:t>
      </w:r>
      <w:r w:rsidRPr="00DB79A2">
        <w:rPr>
          <w:b/>
          <w:sz w:val="22"/>
          <w:szCs w:val="22"/>
        </w:rPr>
        <w:t>rate financing:</w:t>
      </w:r>
      <w:r w:rsidR="00C1166C" w:rsidRPr="00DB79A2">
        <w:rPr>
          <w:sz w:val="22"/>
          <w:szCs w:val="22"/>
        </w:rPr>
        <w:t xml:space="preserve"> </w:t>
      </w:r>
      <w:r w:rsidR="00CF61E0" w:rsidRPr="00DB79A2">
        <w:rPr>
          <w:sz w:val="22"/>
          <w:szCs w:val="22"/>
        </w:rPr>
        <w:t xml:space="preserve">this </w:t>
      </w:r>
      <w:r w:rsidR="00C1166C" w:rsidRPr="00DB79A2">
        <w:rPr>
          <w:sz w:val="22"/>
          <w:szCs w:val="22"/>
        </w:rPr>
        <w:t>covers</w:t>
      </w:r>
      <w:r w:rsidRPr="00DB79A2">
        <w:rPr>
          <w:sz w:val="22"/>
          <w:szCs w:val="22"/>
        </w:rPr>
        <w:t xml:space="preserve"> specific categories of eligible costs which </w:t>
      </w:r>
      <w:r w:rsidR="00CF61E0" w:rsidRPr="00DB79A2">
        <w:rPr>
          <w:sz w:val="22"/>
          <w:szCs w:val="22"/>
        </w:rPr>
        <w:t xml:space="preserve">can be </w:t>
      </w:r>
      <w:r w:rsidRPr="00DB79A2">
        <w:rPr>
          <w:sz w:val="22"/>
          <w:szCs w:val="22"/>
        </w:rPr>
        <w:t xml:space="preserve">clearly identified </w:t>
      </w:r>
      <w:r w:rsidR="006504D9" w:rsidRPr="00DB79A2">
        <w:rPr>
          <w:sz w:val="22"/>
          <w:szCs w:val="22"/>
        </w:rPr>
        <w:t>(</w:t>
      </w:r>
      <w:r w:rsidR="00CF61E0" w:rsidRPr="00DB79A2">
        <w:rPr>
          <w:sz w:val="22"/>
          <w:szCs w:val="22"/>
        </w:rPr>
        <w:t>a</w:t>
      </w:r>
      <w:r w:rsidR="006504D9" w:rsidRPr="00DB79A2">
        <w:rPr>
          <w:sz w:val="22"/>
          <w:szCs w:val="22"/>
        </w:rPr>
        <w:t>s</w:t>
      </w:r>
      <w:r w:rsidR="00CF61E0" w:rsidRPr="00DB79A2">
        <w:rPr>
          <w:sz w:val="22"/>
          <w:szCs w:val="22"/>
        </w:rPr>
        <w:t xml:space="preserve"> indicated in the </w:t>
      </w:r>
      <w:r w:rsidR="00F56690">
        <w:rPr>
          <w:sz w:val="22"/>
          <w:szCs w:val="22"/>
        </w:rPr>
        <w:t>b</w:t>
      </w:r>
      <w:r w:rsidR="00CF61E0" w:rsidRPr="00DB79A2">
        <w:rPr>
          <w:sz w:val="22"/>
          <w:szCs w:val="22"/>
        </w:rPr>
        <w:t>udget at proposal stage</w:t>
      </w:r>
      <w:r w:rsidR="006504D9" w:rsidRPr="00DB79A2">
        <w:rPr>
          <w:sz w:val="22"/>
          <w:szCs w:val="22"/>
        </w:rPr>
        <w:t>)</w:t>
      </w:r>
      <w:r w:rsidR="00CF61E0" w:rsidRPr="00DB79A2">
        <w:rPr>
          <w:sz w:val="22"/>
          <w:szCs w:val="22"/>
        </w:rPr>
        <w:t xml:space="preserve"> and </w:t>
      </w:r>
      <w:r w:rsidR="006504D9" w:rsidRPr="00DB79A2">
        <w:rPr>
          <w:sz w:val="22"/>
          <w:szCs w:val="22"/>
        </w:rPr>
        <w:t xml:space="preserve">are </w:t>
      </w:r>
      <w:r w:rsidR="00CF61E0" w:rsidRPr="00DB79A2">
        <w:rPr>
          <w:sz w:val="22"/>
          <w:szCs w:val="22"/>
        </w:rPr>
        <w:t xml:space="preserve">expressed </w:t>
      </w:r>
      <w:r w:rsidR="006504D9" w:rsidRPr="00DB79A2">
        <w:rPr>
          <w:sz w:val="22"/>
          <w:szCs w:val="22"/>
        </w:rPr>
        <w:t>as</w:t>
      </w:r>
      <w:r w:rsidR="00CF61E0" w:rsidRPr="00DB79A2">
        <w:rPr>
          <w:sz w:val="22"/>
        </w:rPr>
        <w:t xml:space="preserve"> </w:t>
      </w:r>
      <w:r w:rsidRPr="00DB79A2">
        <w:rPr>
          <w:sz w:val="22"/>
          <w:szCs w:val="22"/>
          <w:u w:val="single"/>
        </w:rPr>
        <w:t>a percentage</w:t>
      </w:r>
      <w:r w:rsidR="00CF61E0" w:rsidRPr="00DB79A2">
        <w:rPr>
          <w:sz w:val="22"/>
          <w:szCs w:val="22"/>
        </w:rPr>
        <w:t xml:space="preserve"> of other eligible costs</w:t>
      </w:r>
      <w:r w:rsidRPr="00DB79A2">
        <w:rPr>
          <w:sz w:val="22"/>
          <w:szCs w:val="22"/>
        </w:rPr>
        <w:t>.</w:t>
      </w:r>
      <w:r w:rsidR="00D12A88">
        <w:rPr>
          <w:sz w:val="22"/>
          <w:szCs w:val="22"/>
        </w:rPr>
        <w:t xml:space="preserve"> Please note</w:t>
      </w:r>
      <w:r w:rsidR="004A609B">
        <w:rPr>
          <w:sz w:val="22"/>
          <w:szCs w:val="22"/>
        </w:rPr>
        <w:t xml:space="preserve"> that</w:t>
      </w:r>
      <w:r w:rsidR="00800FFB">
        <w:rPr>
          <w:sz w:val="22"/>
          <w:szCs w:val="22"/>
        </w:rPr>
        <w:t xml:space="preserve"> flat-</w:t>
      </w:r>
      <w:r w:rsidR="00D12A88">
        <w:rPr>
          <w:sz w:val="22"/>
          <w:szCs w:val="22"/>
        </w:rPr>
        <w:t xml:space="preserve">rate financing </w:t>
      </w:r>
      <w:r w:rsidR="004A609B">
        <w:rPr>
          <w:sz w:val="22"/>
          <w:szCs w:val="22"/>
        </w:rPr>
        <w:t>is</w:t>
      </w:r>
      <w:r w:rsidR="00D12A88">
        <w:rPr>
          <w:sz w:val="22"/>
          <w:szCs w:val="22"/>
        </w:rPr>
        <w:t xml:space="preserve"> input based and therefore </w:t>
      </w:r>
      <w:r w:rsidR="00800FFB">
        <w:rPr>
          <w:sz w:val="22"/>
          <w:szCs w:val="22"/>
        </w:rPr>
        <w:t>can</w:t>
      </w:r>
      <w:r w:rsidR="00D12A88">
        <w:rPr>
          <w:sz w:val="22"/>
          <w:szCs w:val="22"/>
        </w:rPr>
        <w:t xml:space="preserve"> </w:t>
      </w:r>
      <w:r w:rsidR="004A609B">
        <w:rPr>
          <w:sz w:val="22"/>
          <w:szCs w:val="22"/>
        </w:rPr>
        <w:t xml:space="preserve">only </w:t>
      </w:r>
      <w:r w:rsidR="00D12A88">
        <w:rPr>
          <w:sz w:val="22"/>
          <w:szCs w:val="22"/>
        </w:rPr>
        <w:t>be proposed by applicants</w:t>
      </w:r>
      <w:r w:rsidR="004A609B">
        <w:rPr>
          <w:sz w:val="22"/>
          <w:szCs w:val="22"/>
        </w:rPr>
        <w:t xml:space="preserve"> in the context of grants awarded through call for proposals when already </w:t>
      </w:r>
      <w:r w:rsidR="004A609B" w:rsidRPr="00F757CE">
        <w:rPr>
          <w:snapToGrid w:val="0"/>
          <w:sz w:val="22"/>
          <w:lang w:eastAsia="en-US"/>
        </w:rPr>
        <w:t>accepted by national authorities under comparable funding schemes</w:t>
      </w:r>
      <w:r w:rsidR="00D12A88">
        <w:rPr>
          <w:sz w:val="22"/>
          <w:szCs w:val="22"/>
        </w:rPr>
        <w:t xml:space="preserve">. </w:t>
      </w:r>
    </w:p>
    <w:p w:rsidR="00E37EF3" w:rsidRPr="0074131C" w:rsidRDefault="004F56B9" w:rsidP="004F56B9">
      <w:pPr>
        <w:ind w:left="710"/>
        <w:jc w:val="both"/>
        <w:rPr>
          <w:sz w:val="22"/>
          <w:szCs w:val="22"/>
        </w:rPr>
      </w:pPr>
      <w:r w:rsidRPr="00ED269E">
        <w:rPr>
          <w:b/>
          <w:sz w:val="22"/>
          <w:szCs w:val="22"/>
        </w:rPr>
        <w:sym w:font="Wingdings" w:char="F0E0"/>
      </w:r>
      <w:r w:rsidRPr="00ED269E">
        <w:rPr>
          <w:b/>
          <w:sz w:val="22"/>
          <w:szCs w:val="22"/>
        </w:rPr>
        <w:t xml:space="preserve"> a combination of these forms </w:t>
      </w:r>
    </w:p>
    <w:p w:rsidR="004F56B9" w:rsidRDefault="00875885" w:rsidP="00CC0FD4">
      <w:pPr>
        <w:spacing w:before="60" w:after="60"/>
        <w:jc w:val="both"/>
        <w:rPr>
          <w:sz w:val="22"/>
          <w:szCs w:val="22"/>
        </w:rPr>
      </w:pPr>
      <w:r w:rsidRPr="00DB79A2">
        <w:rPr>
          <w:sz w:val="22"/>
          <w:szCs w:val="22"/>
        </w:rPr>
        <w:t>Simplified cost options can apply to one or more of the direct cost headings of the budget (i.e. cost headings 1 to 6), or to sub-cost headings or to specific cost items within these cost headings.</w:t>
      </w:r>
    </w:p>
    <w:p w:rsidR="00F96173" w:rsidRDefault="00F96173" w:rsidP="00CC0FD4">
      <w:pPr>
        <w:spacing w:before="60" w:after="60"/>
        <w:jc w:val="both"/>
        <w:rPr>
          <w:sz w:val="22"/>
          <w:szCs w:val="22"/>
        </w:rPr>
      </w:pPr>
    </w:p>
    <w:p w:rsidR="00F96173" w:rsidRPr="006E6FE4" w:rsidRDefault="00F96173" w:rsidP="00F96173">
      <w:pPr>
        <w:spacing w:after="200"/>
        <w:jc w:val="both"/>
        <w:rPr>
          <w:snapToGrid w:val="0"/>
          <w:sz w:val="22"/>
          <w:lang w:eastAsia="en-US"/>
        </w:rPr>
      </w:pPr>
      <w:r w:rsidRPr="006E6FE4">
        <w:rPr>
          <w:snapToGrid w:val="0"/>
          <w:sz w:val="22"/>
          <w:lang w:eastAsia="en-US"/>
        </w:rPr>
        <w:t>Simplified costs options (SCOs) are divided in two categories:</w:t>
      </w:r>
    </w:p>
    <w:p w:rsidR="00F96173" w:rsidRPr="006E6FE4" w:rsidRDefault="00F96173" w:rsidP="00F96173">
      <w:pPr>
        <w:spacing w:after="200"/>
        <w:jc w:val="both"/>
        <w:rPr>
          <w:snapToGrid w:val="0"/>
          <w:sz w:val="22"/>
          <w:lang w:eastAsia="en-US"/>
        </w:rPr>
      </w:pPr>
      <w:r w:rsidRPr="006E6FE4">
        <w:rPr>
          <w:snapToGrid w:val="0"/>
          <w:sz w:val="22"/>
          <w:lang w:eastAsia="en-US"/>
        </w:rPr>
        <w:t>1/ "output or result based SCOs": this category includes costs linked to outputs, results, activities, deliverables in the framework of a specific project (for example the determination of a lump sum for the organi</w:t>
      </w:r>
      <w:r w:rsidR="00084F66">
        <w:rPr>
          <w:snapToGrid w:val="0"/>
          <w:sz w:val="22"/>
          <w:lang w:eastAsia="en-US"/>
        </w:rPr>
        <w:t>s</w:t>
      </w:r>
      <w:r w:rsidRPr="006E6FE4">
        <w:rPr>
          <w:snapToGrid w:val="0"/>
          <w:sz w:val="22"/>
          <w:lang w:eastAsia="en-US"/>
        </w:rPr>
        <w:t>ation of a conference, or for the realisation of a determined output/activity). Where possible and appropriate, lump sums</w:t>
      </w:r>
      <w:r w:rsidR="00FC6931">
        <w:rPr>
          <w:snapToGrid w:val="0"/>
          <w:sz w:val="22"/>
          <w:lang w:eastAsia="en-US"/>
        </w:rPr>
        <w:t xml:space="preserve"> or</w:t>
      </w:r>
      <w:r w:rsidRPr="006E6FE4">
        <w:rPr>
          <w:snapToGrid w:val="0"/>
          <w:sz w:val="22"/>
          <w:lang w:eastAsia="en-US"/>
        </w:rPr>
        <w:t xml:space="preserve"> unit costs shall be determined in such a way to allow their payment upon achievement of concrete outputs and/or results. </w:t>
      </w:r>
      <w:r w:rsidR="00710418">
        <w:rPr>
          <w:snapToGrid w:val="0"/>
          <w:sz w:val="22"/>
          <w:lang w:eastAsia="en-US"/>
        </w:rPr>
        <w:t>Flat</w:t>
      </w:r>
      <w:r w:rsidR="008308FC">
        <w:rPr>
          <w:snapToGrid w:val="0"/>
          <w:sz w:val="22"/>
          <w:lang w:eastAsia="en-US"/>
        </w:rPr>
        <w:t xml:space="preserve"> </w:t>
      </w:r>
      <w:r w:rsidR="00710418">
        <w:rPr>
          <w:snapToGrid w:val="0"/>
          <w:sz w:val="22"/>
          <w:lang w:eastAsia="en-US"/>
        </w:rPr>
        <w:t xml:space="preserve">rates cannot be used for </w:t>
      </w:r>
      <w:r w:rsidR="00710418" w:rsidRPr="006E6FE4">
        <w:rPr>
          <w:snapToGrid w:val="0"/>
          <w:sz w:val="22"/>
          <w:lang w:eastAsia="en-US"/>
        </w:rPr>
        <w:t>output or result based SCOs</w:t>
      </w:r>
      <w:r w:rsidR="00710418">
        <w:rPr>
          <w:snapToGrid w:val="0"/>
          <w:sz w:val="22"/>
          <w:lang w:eastAsia="en-US"/>
        </w:rPr>
        <w:t xml:space="preserve">. </w:t>
      </w:r>
      <w:r w:rsidR="00E50A0B">
        <w:rPr>
          <w:snapToGrid w:val="0"/>
          <w:sz w:val="22"/>
          <w:lang w:eastAsia="en-US"/>
        </w:rPr>
        <w:t xml:space="preserve">Output based </w:t>
      </w:r>
      <w:r w:rsidRPr="006E6FE4">
        <w:rPr>
          <w:snapToGrid w:val="0"/>
          <w:sz w:val="22"/>
          <w:lang w:eastAsia="en-US"/>
        </w:rPr>
        <w:t xml:space="preserve">SCO can be proposed by the </w:t>
      </w:r>
      <w:r w:rsidR="00F757CE">
        <w:rPr>
          <w:snapToGrid w:val="0"/>
          <w:sz w:val="22"/>
          <w:lang w:eastAsia="en-US"/>
        </w:rPr>
        <w:t>b</w:t>
      </w:r>
      <w:r w:rsidR="00F757CE" w:rsidRPr="006E6FE4">
        <w:rPr>
          <w:snapToGrid w:val="0"/>
          <w:sz w:val="22"/>
          <w:lang w:eastAsia="en-US"/>
        </w:rPr>
        <w:t xml:space="preserve">eneficiary </w:t>
      </w:r>
      <w:r w:rsidRPr="006E6FE4">
        <w:rPr>
          <w:snapToGrid w:val="0"/>
          <w:sz w:val="22"/>
          <w:lang w:eastAsia="en-US"/>
        </w:rPr>
        <w:t>(no threshold is applicable) at proposal's stage</w:t>
      </w:r>
      <w:r w:rsidR="00F757CE">
        <w:rPr>
          <w:snapToGrid w:val="0"/>
          <w:sz w:val="22"/>
          <w:lang w:eastAsia="en-US"/>
        </w:rPr>
        <w:t xml:space="preserve"> </w:t>
      </w:r>
      <w:r w:rsidR="00F757CE" w:rsidRPr="00F757CE">
        <w:rPr>
          <w:snapToGrid w:val="0"/>
          <w:sz w:val="22"/>
          <w:lang w:eastAsia="en-US"/>
        </w:rPr>
        <w:t>(Grant application form – Full application)</w:t>
      </w:r>
      <w:r w:rsidRPr="006E6FE4">
        <w:rPr>
          <w:snapToGrid w:val="0"/>
          <w:sz w:val="22"/>
          <w:lang w:eastAsia="en-US"/>
        </w:rPr>
        <w:t>. In case the evaluation committee and the contracting authority are not satisfied with the quality of the justification provided</w:t>
      </w:r>
      <w:r w:rsidR="00084F66">
        <w:rPr>
          <w:snapToGrid w:val="0"/>
          <w:sz w:val="22"/>
          <w:lang w:eastAsia="en-US"/>
        </w:rPr>
        <w:t>,</w:t>
      </w:r>
      <w:r w:rsidRPr="006E6FE4">
        <w:rPr>
          <w:snapToGrid w:val="0"/>
          <w:sz w:val="22"/>
          <w:lang w:eastAsia="en-US"/>
        </w:rPr>
        <w:t xml:space="preserve"> reimbursement on the basis of actually incurred costs is always possible.</w:t>
      </w:r>
    </w:p>
    <w:p w:rsidR="00F96173" w:rsidRPr="00F96173" w:rsidRDefault="00F96173" w:rsidP="00F96173">
      <w:pPr>
        <w:spacing w:after="200"/>
        <w:jc w:val="both"/>
        <w:rPr>
          <w:snapToGrid w:val="0"/>
          <w:sz w:val="22"/>
          <w:lang w:eastAsia="en-US"/>
        </w:rPr>
      </w:pPr>
      <w:r w:rsidRPr="006E6FE4">
        <w:rPr>
          <w:snapToGrid w:val="0"/>
          <w:sz w:val="22"/>
          <w:lang w:eastAsia="en-US"/>
        </w:rPr>
        <w:t>2/ "other SCOs"</w:t>
      </w:r>
      <w:r w:rsidR="00F757CE">
        <w:rPr>
          <w:snapToGrid w:val="0"/>
          <w:sz w:val="22"/>
          <w:lang w:eastAsia="en-US"/>
        </w:rPr>
        <w:t>:</w:t>
      </w:r>
      <w:r w:rsidR="00F3071B">
        <w:rPr>
          <w:snapToGrid w:val="0"/>
          <w:sz w:val="22"/>
          <w:lang w:eastAsia="en-US"/>
        </w:rPr>
        <w:t xml:space="preserve"> </w:t>
      </w:r>
      <w:r w:rsidR="002B2D63">
        <w:rPr>
          <w:snapToGrid w:val="0"/>
          <w:sz w:val="22"/>
          <w:lang w:eastAsia="en-US"/>
        </w:rPr>
        <w:t>t</w:t>
      </w:r>
      <w:r w:rsidRPr="006E6FE4">
        <w:rPr>
          <w:snapToGrid w:val="0"/>
          <w:sz w:val="22"/>
          <w:lang w:eastAsia="en-US"/>
        </w:rPr>
        <w:t xml:space="preserve">his second category entails simplified cost options embedded in the </w:t>
      </w:r>
      <w:r w:rsidR="008450F7">
        <w:rPr>
          <w:snapToGrid w:val="0"/>
          <w:sz w:val="22"/>
          <w:lang w:eastAsia="en-US"/>
        </w:rPr>
        <w:t xml:space="preserve">cost </w:t>
      </w:r>
      <w:r w:rsidRPr="006E6FE4">
        <w:rPr>
          <w:snapToGrid w:val="0"/>
          <w:sz w:val="22"/>
          <w:lang w:eastAsia="en-US"/>
        </w:rPr>
        <w:t xml:space="preserve">accounting practices of the beneficiary, </w:t>
      </w:r>
      <w:r w:rsidR="00F757CE" w:rsidRPr="00F757CE">
        <w:rPr>
          <w:snapToGrid w:val="0"/>
          <w:sz w:val="22"/>
          <w:lang w:eastAsia="en-US"/>
        </w:rPr>
        <w:t xml:space="preserve">if they </w:t>
      </w:r>
      <w:r w:rsidR="00A30DCC">
        <w:rPr>
          <w:snapToGrid w:val="0"/>
          <w:sz w:val="22"/>
          <w:lang w:eastAsia="en-US"/>
        </w:rPr>
        <w:t>have been</w:t>
      </w:r>
      <w:r w:rsidR="00F757CE" w:rsidRPr="00F757CE">
        <w:rPr>
          <w:snapToGrid w:val="0"/>
          <w:sz w:val="22"/>
          <w:lang w:eastAsia="en-US"/>
        </w:rPr>
        <w:t xml:space="preserve"> accepted by national authorities under comparable funding schemes. In this case</w:t>
      </w:r>
      <w:r w:rsidR="002B2D63">
        <w:rPr>
          <w:snapToGrid w:val="0"/>
          <w:sz w:val="22"/>
          <w:lang w:eastAsia="en-US"/>
        </w:rPr>
        <w:t>,</w:t>
      </w:r>
      <w:r w:rsidR="00F757CE" w:rsidRPr="00F757CE">
        <w:rPr>
          <w:snapToGrid w:val="0"/>
          <w:sz w:val="22"/>
          <w:lang w:eastAsia="en-US"/>
        </w:rPr>
        <w:t xml:space="preserve"> the grant beneficiary shall demonstrate that the national authority accepted the cost accounting practices and will have to specify in which context this acceptance is given. The evaluation committee will assess if the funding scheme is comparable</w:t>
      </w:r>
      <w:r w:rsidRPr="006E6FE4">
        <w:rPr>
          <w:snapToGrid w:val="0"/>
          <w:sz w:val="22"/>
          <w:lang w:eastAsia="en-US"/>
        </w:rPr>
        <w:t xml:space="preserve">. To obtain reimbursement of this category of SCOs, the beneficiary shall </w:t>
      </w:r>
      <w:r w:rsidR="008308FC" w:rsidRPr="006E6FE4">
        <w:rPr>
          <w:snapToGrid w:val="0"/>
          <w:sz w:val="22"/>
          <w:lang w:eastAsia="en-US"/>
        </w:rPr>
        <w:t>refer</w:t>
      </w:r>
      <w:r w:rsidR="000D54B0" w:rsidRPr="006E6FE4">
        <w:rPr>
          <w:snapToGrid w:val="0"/>
          <w:sz w:val="22"/>
          <w:lang w:eastAsia="en-US"/>
        </w:rPr>
        <w:t xml:space="preserve"> to the</w:t>
      </w:r>
      <w:r w:rsidRPr="006E6FE4">
        <w:rPr>
          <w:snapToGrid w:val="0"/>
          <w:sz w:val="22"/>
          <w:lang w:eastAsia="en-US"/>
        </w:rPr>
        <w:t xml:space="preserve"> </w:t>
      </w:r>
      <w:r w:rsidR="00F757CE" w:rsidRPr="00F757CE">
        <w:rPr>
          <w:snapToGrid w:val="0"/>
          <w:sz w:val="22"/>
          <w:lang w:eastAsia="en-US"/>
        </w:rPr>
        <w:t>comparable funding schemes of national authoritie</w:t>
      </w:r>
      <w:r w:rsidR="00F757CE">
        <w:rPr>
          <w:snapToGrid w:val="0"/>
          <w:sz w:val="22"/>
          <w:lang w:eastAsia="en-US"/>
        </w:rPr>
        <w:t xml:space="preserve">s </w:t>
      </w:r>
      <w:r w:rsidR="000D54B0" w:rsidRPr="006E6FE4">
        <w:rPr>
          <w:snapToGrid w:val="0"/>
          <w:sz w:val="22"/>
          <w:lang w:eastAsia="en-US"/>
        </w:rPr>
        <w:t xml:space="preserve">in the budget justification sheet (annex </w:t>
      </w:r>
      <w:r w:rsidR="00F26509">
        <w:rPr>
          <w:snapToGrid w:val="0"/>
          <w:sz w:val="22"/>
          <w:lang w:eastAsia="en-US"/>
        </w:rPr>
        <w:t>B</w:t>
      </w:r>
      <w:r w:rsidR="00A30DCC">
        <w:rPr>
          <w:snapToGrid w:val="0"/>
          <w:sz w:val="22"/>
          <w:lang w:eastAsia="en-US"/>
        </w:rPr>
        <w:t>)</w:t>
      </w:r>
      <w:r w:rsidR="000D54B0" w:rsidRPr="006E6FE4">
        <w:rPr>
          <w:snapToGrid w:val="0"/>
          <w:sz w:val="22"/>
          <w:lang w:eastAsia="en-US"/>
        </w:rPr>
        <w:t>.</w:t>
      </w:r>
      <w:r w:rsidR="00F757CE" w:rsidRPr="00F757CE">
        <w:t xml:space="preserve"> </w:t>
      </w:r>
      <w:r w:rsidR="00F757CE" w:rsidRPr="00F757CE">
        <w:rPr>
          <w:snapToGrid w:val="0"/>
          <w:sz w:val="22"/>
          <w:lang w:eastAsia="en-US"/>
        </w:rPr>
        <w:t xml:space="preserve">In case the evaluation committee </w:t>
      </w:r>
      <w:r w:rsidR="00ED787A">
        <w:rPr>
          <w:snapToGrid w:val="0"/>
          <w:sz w:val="22"/>
          <w:lang w:eastAsia="en-US"/>
        </w:rPr>
        <w:t>and the contracting authority</w:t>
      </w:r>
      <w:r w:rsidR="00F757CE" w:rsidRPr="00F757CE">
        <w:rPr>
          <w:snapToGrid w:val="0"/>
          <w:sz w:val="22"/>
          <w:lang w:eastAsia="en-US"/>
        </w:rPr>
        <w:t xml:space="preserve"> </w:t>
      </w:r>
      <w:r w:rsidR="00ED787A">
        <w:rPr>
          <w:snapToGrid w:val="0"/>
          <w:sz w:val="22"/>
          <w:lang w:eastAsia="en-US"/>
        </w:rPr>
        <w:t xml:space="preserve">are </w:t>
      </w:r>
      <w:r w:rsidR="00F757CE" w:rsidRPr="00F757CE">
        <w:rPr>
          <w:snapToGrid w:val="0"/>
          <w:sz w:val="22"/>
          <w:lang w:eastAsia="en-US"/>
        </w:rPr>
        <w:t>not satisfied with the quality of the justification provided</w:t>
      </w:r>
      <w:r w:rsidR="00CC25DF">
        <w:rPr>
          <w:snapToGrid w:val="0"/>
          <w:sz w:val="22"/>
          <w:lang w:eastAsia="en-US"/>
        </w:rPr>
        <w:t>,</w:t>
      </w:r>
      <w:r w:rsidR="00F757CE" w:rsidRPr="00F757CE">
        <w:rPr>
          <w:snapToGrid w:val="0"/>
          <w:sz w:val="22"/>
          <w:lang w:eastAsia="en-US"/>
        </w:rPr>
        <w:t xml:space="preserve"> reimbursement on the basis of actually incurred costs is always possible.</w:t>
      </w:r>
    </w:p>
    <w:p w:rsidR="00F96173" w:rsidRDefault="00FD0D13" w:rsidP="00F96173">
      <w:pPr>
        <w:spacing w:before="120" w:after="120"/>
        <w:jc w:val="both"/>
        <w:rPr>
          <w:sz w:val="22"/>
          <w:szCs w:val="22"/>
        </w:rPr>
      </w:pPr>
      <w:r w:rsidRPr="00A853EC">
        <w:rPr>
          <w:sz w:val="22"/>
          <w:szCs w:val="22"/>
        </w:rPr>
        <w:lastRenderedPageBreak/>
        <w:t xml:space="preserve">Applicants can propose simplified cost options at </w:t>
      </w:r>
      <w:r w:rsidR="00F26509">
        <w:rPr>
          <w:sz w:val="22"/>
          <w:szCs w:val="22"/>
        </w:rPr>
        <w:t>the full application stage</w:t>
      </w:r>
      <w:r w:rsidR="00F26509">
        <w:rPr>
          <w:rStyle w:val="FootnoteReference"/>
          <w:sz w:val="22"/>
          <w:szCs w:val="22"/>
        </w:rPr>
        <w:footnoteReference w:id="2"/>
      </w:r>
      <w:r w:rsidR="002B2D63">
        <w:rPr>
          <w:sz w:val="22"/>
          <w:szCs w:val="22"/>
        </w:rPr>
        <w:t>.</w:t>
      </w:r>
      <w:r w:rsidRPr="00A853EC">
        <w:rPr>
          <w:sz w:val="22"/>
          <w:szCs w:val="22"/>
        </w:rPr>
        <w:t xml:space="preserve"> The </w:t>
      </w:r>
      <w:r w:rsidR="00F96173">
        <w:rPr>
          <w:sz w:val="22"/>
          <w:szCs w:val="22"/>
        </w:rPr>
        <w:t xml:space="preserve">evaluation committee and the </w:t>
      </w:r>
      <w:r w:rsidR="00A337E3">
        <w:rPr>
          <w:sz w:val="22"/>
          <w:szCs w:val="22"/>
        </w:rPr>
        <w:t>contracting authority</w:t>
      </w:r>
      <w:r w:rsidR="00A337E3" w:rsidRPr="00A853EC">
        <w:rPr>
          <w:sz w:val="22"/>
          <w:szCs w:val="22"/>
        </w:rPr>
        <w:t xml:space="preserve"> </w:t>
      </w:r>
      <w:r w:rsidRPr="00A853EC">
        <w:rPr>
          <w:sz w:val="22"/>
          <w:szCs w:val="22"/>
        </w:rPr>
        <w:t xml:space="preserve">will decide whether such costs can be accepted during the contracting </w:t>
      </w:r>
      <w:r w:rsidR="00E9289E" w:rsidRPr="00A853EC">
        <w:rPr>
          <w:sz w:val="22"/>
          <w:szCs w:val="22"/>
        </w:rPr>
        <w:t>phase</w:t>
      </w:r>
      <w:r w:rsidRPr="00A853EC">
        <w:rPr>
          <w:sz w:val="22"/>
          <w:szCs w:val="22"/>
        </w:rPr>
        <w:t xml:space="preserve"> on the basis of the </w:t>
      </w:r>
      <w:r w:rsidR="00ED269E">
        <w:rPr>
          <w:sz w:val="22"/>
          <w:szCs w:val="22"/>
        </w:rPr>
        <w:t>b</w:t>
      </w:r>
      <w:r w:rsidRPr="00A853EC">
        <w:rPr>
          <w:sz w:val="22"/>
          <w:szCs w:val="22"/>
        </w:rPr>
        <w:t xml:space="preserve">udget submitted. The </w:t>
      </w:r>
      <w:r w:rsidR="00A337E3">
        <w:rPr>
          <w:sz w:val="22"/>
          <w:szCs w:val="22"/>
        </w:rPr>
        <w:t>contracting authority</w:t>
      </w:r>
      <w:r w:rsidR="00A337E3" w:rsidRPr="00A853EC">
        <w:rPr>
          <w:sz w:val="22"/>
          <w:szCs w:val="22"/>
        </w:rPr>
        <w:t xml:space="preserve"> </w:t>
      </w:r>
      <w:r w:rsidRPr="00A853EC">
        <w:rPr>
          <w:sz w:val="22"/>
          <w:szCs w:val="22"/>
        </w:rPr>
        <w:t xml:space="preserve">will base its decision on an analysis of the </w:t>
      </w:r>
      <w:r w:rsidR="00ED269E">
        <w:rPr>
          <w:sz w:val="22"/>
          <w:szCs w:val="22"/>
        </w:rPr>
        <w:t>b</w:t>
      </w:r>
      <w:r w:rsidRPr="00A853EC">
        <w:rPr>
          <w:sz w:val="22"/>
          <w:szCs w:val="22"/>
        </w:rPr>
        <w:t xml:space="preserve">udget </w:t>
      </w:r>
      <w:r w:rsidR="004E6557">
        <w:rPr>
          <w:sz w:val="22"/>
          <w:szCs w:val="22"/>
        </w:rPr>
        <w:t xml:space="preserve">presented </w:t>
      </w:r>
      <w:r w:rsidR="00C750B2">
        <w:rPr>
          <w:sz w:val="22"/>
          <w:szCs w:val="22"/>
        </w:rPr>
        <w:t xml:space="preserve">against the conditions set </w:t>
      </w:r>
      <w:r w:rsidRPr="00A853EC">
        <w:rPr>
          <w:sz w:val="22"/>
          <w:szCs w:val="22"/>
        </w:rPr>
        <w:t xml:space="preserve">in these </w:t>
      </w:r>
      <w:r w:rsidRPr="0074131C">
        <w:rPr>
          <w:sz w:val="22"/>
          <w:szCs w:val="22"/>
        </w:rPr>
        <w:t>guidelines.</w:t>
      </w:r>
      <w:r w:rsidR="004E6557" w:rsidRPr="0074131C">
        <w:rPr>
          <w:sz w:val="22"/>
          <w:szCs w:val="22"/>
        </w:rPr>
        <w:t xml:space="preserve"> </w:t>
      </w:r>
    </w:p>
    <w:p w:rsidR="00F96173" w:rsidRDefault="00F96173" w:rsidP="00F96173">
      <w:pPr>
        <w:spacing w:before="120" w:after="120"/>
        <w:jc w:val="both"/>
        <w:rPr>
          <w:sz w:val="22"/>
          <w:szCs w:val="22"/>
        </w:rPr>
      </w:pPr>
      <w:r w:rsidRPr="00F96173">
        <w:rPr>
          <w:sz w:val="22"/>
          <w:szCs w:val="22"/>
        </w:rPr>
        <w:t>In case the evaluation committee and the contracting authority are not satisfied with the quality of the justification provided</w:t>
      </w:r>
      <w:r w:rsidR="00852283">
        <w:rPr>
          <w:sz w:val="22"/>
          <w:szCs w:val="22"/>
        </w:rPr>
        <w:t>,</w:t>
      </w:r>
      <w:r w:rsidRPr="00F96173">
        <w:rPr>
          <w:sz w:val="22"/>
          <w:szCs w:val="22"/>
        </w:rPr>
        <w:t xml:space="preserve"> reimbursement </w:t>
      </w:r>
      <w:r w:rsidR="000D54B0" w:rsidRPr="00F96173">
        <w:rPr>
          <w:sz w:val="22"/>
          <w:szCs w:val="22"/>
        </w:rPr>
        <w:t>based on</w:t>
      </w:r>
      <w:r w:rsidRPr="00F96173">
        <w:rPr>
          <w:sz w:val="22"/>
          <w:szCs w:val="22"/>
        </w:rPr>
        <w:t xml:space="preserve"> actually incurred costs is always possible.</w:t>
      </w:r>
      <w:r w:rsidR="000D54B0">
        <w:rPr>
          <w:sz w:val="22"/>
          <w:szCs w:val="22"/>
        </w:rPr>
        <w:t xml:space="preserve"> In this case</w:t>
      </w:r>
      <w:r w:rsidR="002B2D63">
        <w:rPr>
          <w:sz w:val="22"/>
          <w:szCs w:val="22"/>
        </w:rPr>
        <w:t>,</w:t>
      </w:r>
      <w:r w:rsidR="000D54B0">
        <w:rPr>
          <w:sz w:val="22"/>
          <w:szCs w:val="22"/>
        </w:rPr>
        <w:t xml:space="preserve"> the budget shall be adapted accordingly.</w:t>
      </w:r>
    </w:p>
    <w:p w:rsidR="004E6557" w:rsidRPr="004E6557" w:rsidRDefault="000D54B0" w:rsidP="00F96173">
      <w:pPr>
        <w:spacing w:before="120" w:after="120"/>
        <w:jc w:val="both"/>
        <w:rPr>
          <w:sz w:val="22"/>
          <w:szCs w:val="22"/>
        </w:rPr>
      </w:pPr>
      <w:r>
        <w:rPr>
          <w:sz w:val="22"/>
          <w:szCs w:val="22"/>
        </w:rPr>
        <w:t>Other</w:t>
      </w:r>
      <w:r w:rsidR="004E6557" w:rsidRPr="0074131C">
        <w:rPr>
          <w:sz w:val="22"/>
          <w:szCs w:val="22"/>
        </w:rPr>
        <w:t xml:space="preserve"> SCO</w:t>
      </w:r>
      <w:r w:rsidR="00852283">
        <w:rPr>
          <w:sz w:val="22"/>
          <w:szCs w:val="22"/>
        </w:rPr>
        <w:t>s</w:t>
      </w:r>
      <w:r w:rsidR="004E6557" w:rsidRPr="0074131C">
        <w:rPr>
          <w:sz w:val="22"/>
          <w:szCs w:val="22"/>
        </w:rPr>
        <w:t xml:space="preserve"> </w:t>
      </w:r>
      <w:r w:rsidR="00BA0883" w:rsidRPr="0074131C">
        <w:rPr>
          <w:sz w:val="22"/>
          <w:szCs w:val="22"/>
        </w:rPr>
        <w:t xml:space="preserve">that </w:t>
      </w:r>
      <w:r w:rsidR="00F757CE">
        <w:rPr>
          <w:sz w:val="22"/>
          <w:szCs w:val="22"/>
        </w:rPr>
        <w:t xml:space="preserve">were accepted by national authorities in comparable funding schemes </w:t>
      </w:r>
      <w:r w:rsidR="00BA0883" w:rsidRPr="0074131C">
        <w:rPr>
          <w:sz w:val="22"/>
          <w:szCs w:val="22"/>
        </w:rPr>
        <w:t xml:space="preserve">still </w:t>
      </w:r>
      <w:r w:rsidR="004E6557" w:rsidRPr="0074131C">
        <w:rPr>
          <w:sz w:val="22"/>
          <w:szCs w:val="22"/>
        </w:rPr>
        <w:t>need to be</w:t>
      </w:r>
      <w:r w:rsidR="00A41D32" w:rsidRPr="0074131C">
        <w:rPr>
          <w:sz w:val="22"/>
          <w:szCs w:val="22"/>
        </w:rPr>
        <w:t xml:space="preserve"> reflected in the budget and mentioned in the</w:t>
      </w:r>
      <w:r w:rsidR="004E6557" w:rsidRPr="0074131C">
        <w:rPr>
          <w:sz w:val="22"/>
          <w:szCs w:val="22"/>
        </w:rPr>
        <w:t xml:space="preserve"> budget justification sheet</w:t>
      </w:r>
      <w:r w:rsidR="00BA0883" w:rsidRPr="0074131C">
        <w:rPr>
          <w:sz w:val="22"/>
          <w:szCs w:val="22"/>
        </w:rPr>
        <w:t xml:space="preserve">; the </w:t>
      </w:r>
      <w:r w:rsidR="00F96173">
        <w:rPr>
          <w:sz w:val="22"/>
          <w:szCs w:val="22"/>
        </w:rPr>
        <w:t xml:space="preserve">evaluation committee and the </w:t>
      </w:r>
      <w:r w:rsidR="00F757CE">
        <w:rPr>
          <w:sz w:val="22"/>
          <w:szCs w:val="22"/>
        </w:rPr>
        <w:t>contracting authority</w:t>
      </w:r>
      <w:r w:rsidR="00F757CE" w:rsidRPr="0074131C">
        <w:rPr>
          <w:sz w:val="22"/>
          <w:szCs w:val="22"/>
        </w:rPr>
        <w:t xml:space="preserve"> </w:t>
      </w:r>
      <w:r w:rsidR="00BA0883" w:rsidRPr="0074131C">
        <w:rPr>
          <w:sz w:val="22"/>
          <w:szCs w:val="22"/>
        </w:rPr>
        <w:t>will verify the positive result of the assessment and assess if the budget includes the appropriate level of detail.</w:t>
      </w:r>
    </w:p>
    <w:p w:rsidR="0096220E" w:rsidRDefault="0096220E" w:rsidP="00BF439F">
      <w:pPr>
        <w:spacing w:before="120" w:after="120"/>
        <w:ind w:left="284" w:hanging="284"/>
        <w:jc w:val="both"/>
        <w:rPr>
          <w:sz w:val="22"/>
          <w:szCs w:val="22"/>
        </w:rPr>
      </w:pPr>
    </w:p>
    <w:p w:rsidR="0096220E" w:rsidRPr="00C750B2" w:rsidRDefault="00D63E8E" w:rsidP="00C750B2">
      <w:pPr>
        <w:spacing w:before="120" w:after="120"/>
        <w:jc w:val="both"/>
        <w:rPr>
          <w:b/>
          <w:sz w:val="24"/>
          <w:szCs w:val="24"/>
        </w:rPr>
      </w:pPr>
      <w:r>
        <w:rPr>
          <w:b/>
          <w:sz w:val="22"/>
          <w:szCs w:val="22"/>
        </w:rPr>
        <w:t xml:space="preserve">2. </w:t>
      </w:r>
      <w:r w:rsidR="0096220E" w:rsidRPr="00C750B2">
        <w:rPr>
          <w:b/>
          <w:sz w:val="22"/>
          <w:szCs w:val="22"/>
        </w:rPr>
        <w:t xml:space="preserve">Provisions applicable to both </w:t>
      </w:r>
      <w:r w:rsidR="00852283">
        <w:rPr>
          <w:b/>
          <w:sz w:val="22"/>
          <w:szCs w:val="22"/>
        </w:rPr>
        <w:t xml:space="preserve">output </w:t>
      </w:r>
      <w:r w:rsidR="00E66B89">
        <w:rPr>
          <w:b/>
          <w:sz w:val="22"/>
          <w:szCs w:val="22"/>
        </w:rPr>
        <w:t>and</w:t>
      </w:r>
      <w:r w:rsidR="00852283">
        <w:rPr>
          <w:b/>
          <w:sz w:val="22"/>
          <w:szCs w:val="22"/>
        </w:rPr>
        <w:t xml:space="preserve"> result based</w:t>
      </w:r>
      <w:r w:rsidR="00852283" w:rsidRPr="00C750B2">
        <w:rPr>
          <w:b/>
          <w:sz w:val="22"/>
          <w:szCs w:val="22"/>
        </w:rPr>
        <w:t xml:space="preserve"> SCO</w:t>
      </w:r>
      <w:r w:rsidR="00852283">
        <w:rPr>
          <w:b/>
          <w:sz w:val="22"/>
          <w:szCs w:val="22"/>
        </w:rPr>
        <w:t xml:space="preserve">s and </w:t>
      </w:r>
      <w:r w:rsidR="00F96173">
        <w:rPr>
          <w:b/>
          <w:sz w:val="22"/>
          <w:szCs w:val="22"/>
        </w:rPr>
        <w:t>other</w:t>
      </w:r>
      <w:r w:rsidR="0096220E" w:rsidRPr="00C750B2">
        <w:rPr>
          <w:b/>
          <w:sz w:val="22"/>
          <w:szCs w:val="22"/>
        </w:rPr>
        <w:t xml:space="preserve"> </w:t>
      </w:r>
      <w:r w:rsidR="004E6557">
        <w:rPr>
          <w:b/>
          <w:sz w:val="22"/>
          <w:szCs w:val="22"/>
        </w:rPr>
        <w:t>SCO</w:t>
      </w:r>
      <w:r w:rsidR="00852283">
        <w:rPr>
          <w:b/>
          <w:sz w:val="22"/>
          <w:szCs w:val="22"/>
        </w:rPr>
        <w:t>s</w:t>
      </w:r>
      <w:r w:rsidR="00A41D32">
        <w:rPr>
          <w:b/>
          <w:sz w:val="22"/>
          <w:szCs w:val="22"/>
        </w:rPr>
        <w:t>:</w:t>
      </w:r>
    </w:p>
    <w:p w:rsidR="0096220E" w:rsidRDefault="0096220E" w:rsidP="00BF439F">
      <w:pPr>
        <w:spacing w:before="120" w:after="120"/>
        <w:ind w:left="284" w:hanging="284"/>
        <w:jc w:val="both"/>
        <w:rPr>
          <w:sz w:val="22"/>
          <w:szCs w:val="22"/>
        </w:rPr>
      </w:pPr>
      <w:r>
        <w:rPr>
          <w:sz w:val="22"/>
          <w:szCs w:val="22"/>
        </w:rPr>
        <w:t>In line with Art</w:t>
      </w:r>
      <w:r w:rsidR="00ED269E">
        <w:rPr>
          <w:sz w:val="22"/>
          <w:szCs w:val="22"/>
        </w:rPr>
        <w:t>icle</w:t>
      </w:r>
      <w:r>
        <w:rPr>
          <w:sz w:val="22"/>
          <w:szCs w:val="22"/>
        </w:rPr>
        <w:t xml:space="preserve"> </w:t>
      </w:r>
      <w:r w:rsidR="00EC2B73">
        <w:rPr>
          <w:sz w:val="22"/>
          <w:szCs w:val="22"/>
        </w:rPr>
        <w:t>181(4)</w:t>
      </w:r>
      <w:r>
        <w:rPr>
          <w:sz w:val="22"/>
          <w:szCs w:val="22"/>
        </w:rPr>
        <w:t xml:space="preserve"> of the </w:t>
      </w:r>
      <w:r w:rsidR="00614CD0">
        <w:rPr>
          <w:sz w:val="22"/>
          <w:szCs w:val="22"/>
        </w:rPr>
        <w:t>2018 Financial Regulation</w:t>
      </w:r>
      <w:r>
        <w:rPr>
          <w:sz w:val="22"/>
          <w:szCs w:val="22"/>
        </w:rPr>
        <w:t xml:space="preserve"> the authorisation of SCO</w:t>
      </w:r>
      <w:r w:rsidR="00852283">
        <w:rPr>
          <w:sz w:val="22"/>
          <w:szCs w:val="22"/>
        </w:rPr>
        <w:t>s</w:t>
      </w:r>
      <w:r>
        <w:rPr>
          <w:sz w:val="22"/>
          <w:szCs w:val="22"/>
        </w:rPr>
        <w:t xml:space="preserve"> can be granted if the following elements are present:</w:t>
      </w:r>
    </w:p>
    <w:p w:rsidR="0096220E" w:rsidRDefault="0096220E" w:rsidP="00BF439F">
      <w:pPr>
        <w:spacing w:before="120" w:after="120"/>
        <w:ind w:left="284" w:hanging="284"/>
        <w:jc w:val="both"/>
        <w:rPr>
          <w:sz w:val="22"/>
          <w:szCs w:val="22"/>
        </w:rPr>
      </w:pPr>
      <w:r>
        <w:rPr>
          <w:sz w:val="22"/>
          <w:szCs w:val="22"/>
        </w:rPr>
        <w:t>a)</w:t>
      </w:r>
      <w:r w:rsidRPr="0096220E">
        <w:t xml:space="preserve"> </w:t>
      </w:r>
      <w:r>
        <w:rPr>
          <w:sz w:val="22"/>
          <w:szCs w:val="22"/>
        </w:rPr>
        <w:t>J</w:t>
      </w:r>
      <w:r w:rsidRPr="0096220E">
        <w:rPr>
          <w:sz w:val="22"/>
          <w:szCs w:val="22"/>
        </w:rPr>
        <w:t>ustification concerning the appropriateness of such forms of financing with regard to the nature of the supported actions, as well as to the risks of irregularities and fraud and costs of control;</w:t>
      </w:r>
    </w:p>
    <w:p w:rsidR="0096220E" w:rsidRDefault="0096220E" w:rsidP="00BF439F">
      <w:pPr>
        <w:spacing w:before="120" w:after="120"/>
        <w:ind w:left="284" w:hanging="284"/>
        <w:jc w:val="both"/>
        <w:rPr>
          <w:sz w:val="22"/>
          <w:szCs w:val="22"/>
        </w:rPr>
      </w:pPr>
      <w:r>
        <w:rPr>
          <w:sz w:val="22"/>
          <w:szCs w:val="22"/>
        </w:rPr>
        <w:t xml:space="preserve">b) </w:t>
      </w:r>
      <w:r w:rsidR="00AF0CD4">
        <w:rPr>
          <w:sz w:val="22"/>
          <w:szCs w:val="22"/>
        </w:rPr>
        <w:t>I</w:t>
      </w:r>
      <w:r w:rsidRPr="0096220E">
        <w:rPr>
          <w:sz w:val="22"/>
          <w:szCs w:val="22"/>
        </w:rPr>
        <w:t xml:space="preserve">dentification of the costs or categories of costs covered by lump sums, unit costs or </w:t>
      </w:r>
      <w:r w:rsidRPr="00C07639">
        <w:rPr>
          <w:sz w:val="22"/>
          <w:szCs w:val="22"/>
        </w:rPr>
        <w:t>flat-rate</w:t>
      </w:r>
      <w:r w:rsidRPr="0096220E">
        <w:rPr>
          <w:sz w:val="22"/>
          <w:szCs w:val="22"/>
        </w:rPr>
        <w:t xml:space="preserve"> financing, which shall be considered eligible in accordance with </w:t>
      </w:r>
      <w:r>
        <w:rPr>
          <w:sz w:val="22"/>
          <w:szCs w:val="22"/>
        </w:rPr>
        <w:t xml:space="preserve">Article 14.1 and 14.2 of the GC </w:t>
      </w:r>
      <w:r w:rsidRPr="0096220E">
        <w:rPr>
          <w:sz w:val="22"/>
          <w:szCs w:val="22"/>
        </w:rPr>
        <w:t>and which shall exclude ineligible costs under</w:t>
      </w:r>
      <w:r>
        <w:rPr>
          <w:sz w:val="22"/>
          <w:szCs w:val="22"/>
        </w:rPr>
        <w:t xml:space="preserve"> Article 14.</w:t>
      </w:r>
      <w:r w:rsidR="00AB4366">
        <w:rPr>
          <w:sz w:val="22"/>
          <w:szCs w:val="22"/>
        </w:rPr>
        <w:t>11</w:t>
      </w:r>
      <w:r>
        <w:rPr>
          <w:sz w:val="22"/>
          <w:szCs w:val="22"/>
        </w:rPr>
        <w:t xml:space="preserve"> of the GC</w:t>
      </w:r>
      <w:r w:rsidRPr="0096220E">
        <w:rPr>
          <w:sz w:val="22"/>
          <w:szCs w:val="22"/>
        </w:rPr>
        <w:t>;</w:t>
      </w:r>
    </w:p>
    <w:p w:rsidR="00AF0CD4" w:rsidRPr="0074131C" w:rsidRDefault="0096220E" w:rsidP="00AF0CD4">
      <w:pPr>
        <w:spacing w:before="120" w:after="120"/>
        <w:ind w:left="284" w:hanging="284"/>
        <w:jc w:val="both"/>
        <w:rPr>
          <w:sz w:val="22"/>
          <w:szCs w:val="22"/>
        </w:rPr>
      </w:pPr>
      <w:r>
        <w:rPr>
          <w:sz w:val="22"/>
          <w:szCs w:val="22"/>
        </w:rPr>
        <w:t>c)</w:t>
      </w:r>
      <w:r w:rsidR="00AF0CD4">
        <w:rPr>
          <w:sz w:val="22"/>
          <w:szCs w:val="22"/>
        </w:rPr>
        <w:t xml:space="preserve"> D</w:t>
      </w:r>
      <w:r w:rsidR="00AF0CD4" w:rsidRPr="00AF0CD4">
        <w:rPr>
          <w:sz w:val="22"/>
          <w:szCs w:val="22"/>
        </w:rPr>
        <w:t xml:space="preserve">escription of the methods for determining lump sums, unit costs or </w:t>
      </w:r>
      <w:r w:rsidR="00AF0CD4" w:rsidRPr="00C07639">
        <w:rPr>
          <w:sz w:val="22"/>
          <w:szCs w:val="22"/>
        </w:rPr>
        <w:t>flat-rate</w:t>
      </w:r>
      <w:r w:rsidR="00AF0CD4" w:rsidRPr="00AF0CD4">
        <w:rPr>
          <w:sz w:val="22"/>
          <w:szCs w:val="22"/>
        </w:rPr>
        <w:t xml:space="preserve"> financing. </w:t>
      </w:r>
      <w:r w:rsidR="00852283">
        <w:rPr>
          <w:sz w:val="22"/>
          <w:szCs w:val="22"/>
        </w:rPr>
        <w:t>For SCOs that are not output or result based, t</w:t>
      </w:r>
      <w:r w:rsidR="00AF0CD4" w:rsidRPr="00AF0CD4">
        <w:rPr>
          <w:sz w:val="22"/>
          <w:szCs w:val="22"/>
        </w:rPr>
        <w:t xml:space="preserve">hose </w:t>
      </w:r>
      <w:r w:rsidR="00AF0CD4" w:rsidRPr="0074131C">
        <w:rPr>
          <w:sz w:val="22"/>
          <w:szCs w:val="22"/>
        </w:rPr>
        <w:t xml:space="preserve">methods shall be based on one of the following: </w:t>
      </w:r>
    </w:p>
    <w:p w:rsidR="00AF0CD4" w:rsidRPr="0074131C" w:rsidRDefault="00AF0CD4" w:rsidP="00AF0CD4">
      <w:pPr>
        <w:spacing w:before="120" w:after="120"/>
        <w:ind w:left="284"/>
        <w:jc w:val="both"/>
        <w:rPr>
          <w:sz w:val="22"/>
          <w:szCs w:val="22"/>
        </w:rPr>
      </w:pPr>
      <w:r w:rsidRPr="0074131C">
        <w:rPr>
          <w:sz w:val="22"/>
          <w:szCs w:val="22"/>
        </w:rPr>
        <w:t>-</w:t>
      </w:r>
      <w:r w:rsidR="008308FC">
        <w:rPr>
          <w:sz w:val="22"/>
          <w:szCs w:val="22"/>
        </w:rPr>
        <w:t xml:space="preserve"> </w:t>
      </w:r>
      <w:r w:rsidRPr="0074131C">
        <w:rPr>
          <w:sz w:val="22"/>
          <w:szCs w:val="22"/>
        </w:rPr>
        <w:t>statistical data, similarly objective means or an expert judgement provided by internally available experts</w:t>
      </w:r>
      <w:r w:rsidR="00EB3D31" w:rsidRPr="0074131C">
        <w:rPr>
          <w:sz w:val="22"/>
          <w:szCs w:val="22"/>
        </w:rPr>
        <w:t xml:space="preserve"> in the Commission </w:t>
      </w:r>
      <w:r w:rsidRPr="0074131C">
        <w:rPr>
          <w:sz w:val="22"/>
          <w:szCs w:val="22"/>
        </w:rPr>
        <w:t>or procured in accordance with the applicable rules; or</w:t>
      </w:r>
    </w:p>
    <w:p w:rsidR="00AF0CD4" w:rsidRDefault="00AF0CD4" w:rsidP="00AF0CD4">
      <w:pPr>
        <w:spacing w:before="120" w:after="120"/>
        <w:ind w:left="284"/>
        <w:jc w:val="both"/>
        <w:rPr>
          <w:sz w:val="22"/>
          <w:szCs w:val="22"/>
        </w:rPr>
      </w:pPr>
      <w:r w:rsidRPr="0074131C">
        <w:rPr>
          <w:sz w:val="22"/>
          <w:szCs w:val="22"/>
        </w:rPr>
        <w:t>-</w:t>
      </w:r>
      <w:r w:rsidR="008308FC">
        <w:rPr>
          <w:sz w:val="22"/>
          <w:szCs w:val="22"/>
        </w:rPr>
        <w:t xml:space="preserve"> </w:t>
      </w:r>
      <w:r w:rsidRPr="0074131C">
        <w:rPr>
          <w:sz w:val="22"/>
          <w:szCs w:val="22"/>
        </w:rPr>
        <w:t>beneficiary-by-beneficiary approach</w:t>
      </w:r>
      <w:r w:rsidRPr="00AF0CD4">
        <w:rPr>
          <w:sz w:val="22"/>
          <w:szCs w:val="22"/>
        </w:rPr>
        <w:t>, by reference to certified or auditable historical data of the beneficiary or to its usual cost accounting practices;</w:t>
      </w:r>
    </w:p>
    <w:p w:rsidR="0096220E" w:rsidRDefault="0096220E" w:rsidP="00BF439F">
      <w:pPr>
        <w:spacing w:before="120" w:after="120"/>
        <w:ind w:left="284" w:hanging="284"/>
        <w:jc w:val="both"/>
        <w:rPr>
          <w:sz w:val="22"/>
          <w:szCs w:val="22"/>
        </w:rPr>
      </w:pPr>
      <w:r>
        <w:rPr>
          <w:sz w:val="22"/>
          <w:szCs w:val="22"/>
        </w:rPr>
        <w:t>d)</w:t>
      </w:r>
      <w:r w:rsidR="00AF0CD4" w:rsidRPr="00AF0CD4">
        <w:t xml:space="preserve"> </w:t>
      </w:r>
      <w:r w:rsidR="00AF0CD4">
        <w:t>W</w:t>
      </w:r>
      <w:r w:rsidR="00AF0CD4" w:rsidRPr="00AF0CD4">
        <w:rPr>
          <w:sz w:val="22"/>
          <w:szCs w:val="22"/>
        </w:rPr>
        <w:t xml:space="preserve">here possible, the essential conditions triggering the payment, including, </w:t>
      </w:r>
      <w:r w:rsidR="0019251B" w:rsidRPr="00C602B5">
        <w:rPr>
          <w:sz w:val="22"/>
          <w:szCs w:val="22"/>
        </w:rPr>
        <w:t>in case of output or result based SCOs</w:t>
      </w:r>
      <w:r w:rsidR="00AF0CD4" w:rsidRPr="00AF0CD4">
        <w:rPr>
          <w:sz w:val="22"/>
          <w:szCs w:val="22"/>
        </w:rPr>
        <w:t>, the achieve</w:t>
      </w:r>
      <w:r w:rsidR="00C750B2">
        <w:rPr>
          <w:sz w:val="22"/>
          <w:szCs w:val="22"/>
        </w:rPr>
        <w:t>ment of outputs and/or results</w:t>
      </w:r>
      <w:r w:rsidR="002B2D63">
        <w:rPr>
          <w:sz w:val="22"/>
          <w:szCs w:val="22"/>
        </w:rPr>
        <w:t>;</w:t>
      </w:r>
    </w:p>
    <w:p w:rsidR="0096220E" w:rsidRDefault="0096220E" w:rsidP="00C750B2">
      <w:pPr>
        <w:spacing w:before="120" w:after="120"/>
        <w:ind w:left="284" w:hanging="284"/>
        <w:jc w:val="both"/>
        <w:rPr>
          <w:sz w:val="22"/>
          <w:szCs w:val="22"/>
        </w:rPr>
      </w:pPr>
      <w:r>
        <w:rPr>
          <w:sz w:val="22"/>
          <w:szCs w:val="22"/>
        </w:rPr>
        <w:t>e)</w:t>
      </w:r>
      <w:r w:rsidR="00C750B2">
        <w:rPr>
          <w:sz w:val="22"/>
          <w:szCs w:val="22"/>
        </w:rPr>
        <w:t xml:space="preserve"> </w:t>
      </w:r>
      <w:r w:rsidR="0019251B" w:rsidRPr="00C602B5">
        <w:rPr>
          <w:sz w:val="22"/>
          <w:szCs w:val="22"/>
        </w:rPr>
        <w:t>for other SCOs</w:t>
      </w:r>
      <w:r w:rsidR="0019251B" w:rsidRPr="0019251B">
        <w:rPr>
          <w:sz w:val="22"/>
          <w:szCs w:val="22"/>
        </w:rPr>
        <w:t xml:space="preserve"> </w:t>
      </w:r>
      <w:r w:rsidR="0019251B">
        <w:rPr>
          <w:sz w:val="22"/>
          <w:szCs w:val="22"/>
        </w:rPr>
        <w:t>where</w:t>
      </w:r>
      <w:r w:rsidR="00C750B2" w:rsidRPr="00C750B2">
        <w:rPr>
          <w:sz w:val="22"/>
          <w:szCs w:val="22"/>
        </w:rPr>
        <w:t xml:space="preserve"> lump sums, unit costs and flat rates are not output based and/or result based, a justification on why an output based and/or result based approach is not possible or appropriate</w:t>
      </w:r>
      <w:r w:rsidR="002B2D63">
        <w:rPr>
          <w:sz w:val="22"/>
          <w:szCs w:val="22"/>
        </w:rPr>
        <w:t>;</w:t>
      </w:r>
    </w:p>
    <w:p w:rsidR="00C750B2" w:rsidRPr="00C750B2" w:rsidRDefault="00C750B2" w:rsidP="00C750B2">
      <w:pPr>
        <w:spacing w:before="120" w:after="120"/>
        <w:ind w:left="284" w:hanging="284"/>
        <w:jc w:val="both"/>
        <w:rPr>
          <w:sz w:val="22"/>
          <w:szCs w:val="22"/>
        </w:rPr>
      </w:pPr>
      <w:r w:rsidRPr="00C750B2">
        <w:rPr>
          <w:sz w:val="22"/>
          <w:szCs w:val="22"/>
        </w:rPr>
        <w:t>The methods referred to in point (c) shall ensure:</w:t>
      </w:r>
    </w:p>
    <w:p w:rsidR="00C750B2" w:rsidRDefault="00C750B2" w:rsidP="00C750B2">
      <w:pPr>
        <w:spacing w:before="120" w:after="120"/>
        <w:ind w:firstLine="284"/>
        <w:jc w:val="both"/>
        <w:rPr>
          <w:sz w:val="22"/>
          <w:szCs w:val="22"/>
        </w:rPr>
      </w:pPr>
      <w:r>
        <w:rPr>
          <w:sz w:val="22"/>
          <w:szCs w:val="22"/>
        </w:rPr>
        <w:t>-</w:t>
      </w:r>
      <w:r w:rsidR="00D30F38">
        <w:rPr>
          <w:sz w:val="22"/>
          <w:szCs w:val="22"/>
        </w:rPr>
        <w:t xml:space="preserve"> </w:t>
      </w:r>
      <w:r w:rsidR="00614CD0">
        <w:rPr>
          <w:sz w:val="22"/>
          <w:szCs w:val="22"/>
        </w:rPr>
        <w:t>t</w:t>
      </w:r>
      <w:r w:rsidRPr="00C750B2">
        <w:rPr>
          <w:sz w:val="22"/>
          <w:szCs w:val="22"/>
        </w:rPr>
        <w:t>he respect of the principle of sound financial management, in particular the appropriateness of the respective amounts with regard to the required outputs and/or results taking into account foreseeable revenues to be generated by the actions or work programmes;</w:t>
      </w:r>
    </w:p>
    <w:p w:rsidR="00C750B2" w:rsidRDefault="00C750B2" w:rsidP="00C750B2">
      <w:pPr>
        <w:spacing w:before="120" w:after="120"/>
        <w:ind w:firstLine="284"/>
        <w:jc w:val="both"/>
        <w:rPr>
          <w:sz w:val="22"/>
          <w:szCs w:val="22"/>
        </w:rPr>
      </w:pPr>
      <w:r>
        <w:rPr>
          <w:sz w:val="22"/>
          <w:szCs w:val="22"/>
        </w:rPr>
        <w:t xml:space="preserve">- </w:t>
      </w:r>
      <w:r w:rsidR="00614CD0">
        <w:rPr>
          <w:sz w:val="22"/>
          <w:szCs w:val="22"/>
        </w:rPr>
        <w:t>c</w:t>
      </w:r>
      <w:r w:rsidRPr="00C750B2">
        <w:rPr>
          <w:sz w:val="22"/>
          <w:szCs w:val="22"/>
        </w:rPr>
        <w:t>ompliance with the principles of co-financing and no double funding.</w:t>
      </w:r>
    </w:p>
    <w:p w:rsidR="00D30F38" w:rsidRDefault="00D30F38" w:rsidP="00BF439F">
      <w:pPr>
        <w:spacing w:before="120" w:after="120"/>
        <w:ind w:left="284" w:hanging="284"/>
        <w:jc w:val="both"/>
        <w:rPr>
          <w:sz w:val="22"/>
          <w:szCs w:val="22"/>
        </w:rPr>
      </w:pPr>
    </w:p>
    <w:p w:rsidR="00C750B2" w:rsidRDefault="0019251B" w:rsidP="008308FC">
      <w:pPr>
        <w:spacing w:before="120" w:after="120"/>
        <w:jc w:val="both"/>
        <w:rPr>
          <w:sz w:val="22"/>
          <w:szCs w:val="22"/>
        </w:rPr>
      </w:pPr>
      <w:r w:rsidRPr="0019251B">
        <w:rPr>
          <w:sz w:val="22"/>
          <w:szCs w:val="22"/>
        </w:rPr>
        <w:lastRenderedPageBreak/>
        <w:t>The authorisation decision shall apply to the specific contract concerned in case o</w:t>
      </w:r>
      <w:r w:rsidR="00C912C4">
        <w:rPr>
          <w:sz w:val="22"/>
          <w:szCs w:val="22"/>
        </w:rPr>
        <w:t>f output or result based SCOs</w:t>
      </w:r>
      <w:r w:rsidRPr="0019251B">
        <w:rPr>
          <w:sz w:val="22"/>
          <w:szCs w:val="22"/>
        </w:rPr>
        <w:t>.</w:t>
      </w:r>
    </w:p>
    <w:p w:rsidR="00A41D32" w:rsidRPr="00042B2F" w:rsidRDefault="0074131C" w:rsidP="00A036E0">
      <w:pPr>
        <w:spacing w:before="120" w:after="120"/>
        <w:jc w:val="both"/>
        <w:rPr>
          <w:b/>
          <w:sz w:val="22"/>
          <w:szCs w:val="22"/>
        </w:rPr>
      </w:pPr>
      <w:r>
        <w:rPr>
          <w:b/>
          <w:sz w:val="22"/>
          <w:szCs w:val="22"/>
        </w:rPr>
        <w:t>3</w:t>
      </w:r>
      <w:r w:rsidR="00D63E8E">
        <w:rPr>
          <w:b/>
          <w:sz w:val="22"/>
          <w:szCs w:val="22"/>
        </w:rPr>
        <w:t xml:space="preserve">. </w:t>
      </w:r>
      <w:r w:rsidR="0096220E" w:rsidRPr="00042B2F">
        <w:rPr>
          <w:b/>
          <w:sz w:val="22"/>
          <w:szCs w:val="22"/>
        </w:rPr>
        <w:t>Provisions applicable</w:t>
      </w:r>
      <w:r w:rsidR="0019251B">
        <w:rPr>
          <w:b/>
          <w:sz w:val="22"/>
          <w:szCs w:val="22"/>
        </w:rPr>
        <w:t xml:space="preserve"> to other</w:t>
      </w:r>
      <w:r w:rsidR="00A41D32">
        <w:rPr>
          <w:b/>
          <w:sz w:val="22"/>
          <w:szCs w:val="22"/>
        </w:rPr>
        <w:t xml:space="preserve"> SCO</w:t>
      </w:r>
      <w:r w:rsidR="00852283">
        <w:rPr>
          <w:b/>
          <w:sz w:val="22"/>
          <w:szCs w:val="22"/>
        </w:rPr>
        <w:t>s</w:t>
      </w:r>
      <w:r w:rsidR="006E6FE4">
        <w:rPr>
          <w:b/>
          <w:sz w:val="22"/>
          <w:szCs w:val="22"/>
        </w:rPr>
        <w:t xml:space="preserve"> only</w:t>
      </w:r>
      <w:r w:rsidR="00A41D32" w:rsidRPr="00A41D32">
        <w:rPr>
          <w:b/>
          <w:sz w:val="22"/>
          <w:szCs w:val="22"/>
        </w:rPr>
        <w:t>:</w:t>
      </w:r>
    </w:p>
    <w:p w:rsidR="00AE57C7" w:rsidRPr="00AE57C7" w:rsidRDefault="00AE57C7" w:rsidP="00AE57C7">
      <w:pPr>
        <w:spacing w:before="120" w:after="120"/>
        <w:jc w:val="both"/>
        <w:rPr>
          <w:sz w:val="22"/>
          <w:szCs w:val="22"/>
        </w:rPr>
      </w:pPr>
      <w:r>
        <w:rPr>
          <w:sz w:val="22"/>
          <w:szCs w:val="22"/>
        </w:rPr>
        <w:t>T</w:t>
      </w:r>
      <w:r w:rsidRPr="00AE57C7">
        <w:rPr>
          <w:sz w:val="22"/>
          <w:szCs w:val="22"/>
        </w:rPr>
        <w:t xml:space="preserve">he responsible </w:t>
      </w:r>
      <w:r>
        <w:rPr>
          <w:sz w:val="22"/>
          <w:szCs w:val="22"/>
        </w:rPr>
        <w:t>contracting authority</w:t>
      </w:r>
      <w:r w:rsidRPr="00AE57C7">
        <w:rPr>
          <w:sz w:val="22"/>
          <w:szCs w:val="22"/>
        </w:rPr>
        <w:t xml:space="preserve"> may consider that the usual cost accounting practices of the beneficiary are compliant with the conditions set out at point 2, if they </w:t>
      </w:r>
      <w:r w:rsidR="00A30DCC">
        <w:rPr>
          <w:sz w:val="22"/>
          <w:szCs w:val="22"/>
        </w:rPr>
        <w:t>have been</w:t>
      </w:r>
      <w:r w:rsidRPr="00AE57C7">
        <w:rPr>
          <w:sz w:val="22"/>
          <w:szCs w:val="22"/>
        </w:rPr>
        <w:t xml:space="preserve"> accepted by national authorities under comparable funding schemes. In this case</w:t>
      </w:r>
      <w:r w:rsidR="002B2D63">
        <w:rPr>
          <w:sz w:val="22"/>
          <w:szCs w:val="22"/>
        </w:rPr>
        <w:t>,</w:t>
      </w:r>
      <w:r w:rsidRPr="00AE57C7">
        <w:rPr>
          <w:sz w:val="22"/>
          <w:szCs w:val="22"/>
        </w:rPr>
        <w:t xml:space="preserve"> the grant beneficiary shall demonstrate that the national authority accepted the cost accounting practices and will have to specify in which context this acceptance is given.</w:t>
      </w:r>
    </w:p>
    <w:p w:rsidR="00F26509" w:rsidRDefault="00ED787A" w:rsidP="00A30DCC">
      <w:pPr>
        <w:spacing w:before="120" w:after="120"/>
        <w:jc w:val="both"/>
        <w:rPr>
          <w:sz w:val="22"/>
          <w:szCs w:val="22"/>
        </w:rPr>
      </w:pPr>
      <w:r>
        <w:rPr>
          <w:sz w:val="22"/>
          <w:szCs w:val="22"/>
        </w:rPr>
        <w:t>The contracting authority</w:t>
      </w:r>
      <w:r w:rsidR="00AE57C7" w:rsidRPr="00AE57C7">
        <w:rPr>
          <w:sz w:val="22"/>
          <w:szCs w:val="22"/>
        </w:rPr>
        <w:t xml:space="preserve"> will then assess if the funding scheme is comparable and in case of positive outcome will consider these practices as if they were ex-ante assessed by an external auditor.</w:t>
      </w:r>
    </w:p>
    <w:p w:rsidR="00A41D32" w:rsidRDefault="0074131C" w:rsidP="00F26509">
      <w:pPr>
        <w:spacing w:before="120" w:after="120"/>
        <w:jc w:val="both"/>
        <w:rPr>
          <w:b/>
          <w:sz w:val="22"/>
          <w:szCs w:val="22"/>
        </w:rPr>
      </w:pPr>
      <w:r>
        <w:rPr>
          <w:b/>
          <w:sz w:val="22"/>
          <w:szCs w:val="22"/>
        </w:rPr>
        <w:t>4</w:t>
      </w:r>
      <w:r w:rsidR="00A41D32">
        <w:rPr>
          <w:b/>
          <w:sz w:val="22"/>
          <w:szCs w:val="22"/>
        </w:rPr>
        <w:t xml:space="preserve">. </w:t>
      </w:r>
      <w:r w:rsidR="00A41D32" w:rsidRPr="0074131C">
        <w:rPr>
          <w:b/>
          <w:sz w:val="22"/>
          <w:szCs w:val="22"/>
        </w:rPr>
        <w:t>Provisions ap</w:t>
      </w:r>
      <w:r w:rsidR="00EA3816">
        <w:rPr>
          <w:b/>
          <w:sz w:val="22"/>
          <w:szCs w:val="22"/>
        </w:rPr>
        <w:t>plicable to output or result based</w:t>
      </w:r>
      <w:r w:rsidR="00A41D32" w:rsidRPr="0074131C">
        <w:rPr>
          <w:b/>
          <w:sz w:val="22"/>
          <w:szCs w:val="22"/>
        </w:rPr>
        <w:t xml:space="preserve"> SCO</w:t>
      </w:r>
      <w:r w:rsidR="0000286C">
        <w:rPr>
          <w:b/>
          <w:sz w:val="22"/>
          <w:szCs w:val="22"/>
        </w:rPr>
        <w:t>s only</w:t>
      </w:r>
      <w:r w:rsidR="00DE7608">
        <w:rPr>
          <w:b/>
          <w:sz w:val="22"/>
          <w:szCs w:val="22"/>
        </w:rPr>
        <w:t>:</w:t>
      </w:r>
    </w:p>
    <w:p w:rsidR="00F26509" w:rsidRPr="00F26509" w:rsidRDefault="00F26509" w:rsidP="008308FC">
      <w:pPr>
        <w:spacing w:before="120" w:after="120"/>
        <w:ind w:left="57" w:hanging="284"/>
        <w:jc w:val="both"/>
        <w:rPr>
          <w:sz w:val="22"/>
          <w:szCs w:val="22"/>
        </w:rPr>
      </w:pPr>
      <w:r w:rsidRPr="00F26509">
        <w:rPr>
          <w:sz w:val="22"/>
          <w:szCs w:val="22"/>
        </w:rPr>
        <w:t xml:space="preserve">- </w:t>
      </w:r>
      <w:r w:rsidR="008308FC">
        <w:rPr>
          <w:sz w:val="22"/>
          <w:szCs w:val="22"/>
        </w:rPr>
        <w:t xml:space="preserve">  </w:t>
      </w:r>
      <w:r w:rsidRPr="00F26509">
        <w:rPr>
          <w:sz w:val="22"/>
          <w:szCs w:val="22"/>
        </w:rPr>
        <w:t>Once simplified cost amounts (as specified in the action budget) have been assessed and approved by the evaluation committee and the contracting authority such costs will not be subject to an ex post verification of actual underlying cost data. Hence, auditors will not be required to check supporting documents to verify the actual costs incurred but they will verify the correct application of the method and formula for the calculation of the cost based on related inputs and relevant quantitative and qualitative information.</w:t>
      </w:r>
    </w:p>
    <w:p w:rsidR="00F26509" w:rsidRPr="00F26509" w:rsidRDefault="00F26509" w:rsidP="008308FC">
      <w:pPr>
        <w:spacing w:before="120" w:after="120"/>
        <w:ind w:left="114" w:hanging="284"/>
        <w:jc w:val="both"/>
        <w:rPr>
          <w:sz w:val="22"/>
          <w:szCs w:val="22"/>
        </w:rPr>
      </w:pPr>
      <w:r w:rsidRPr="00F26509">
        <w:rPr>
          <w:sz w:val="22"/>
          <w:szCs w:val="22"/>
        </w:rPr>
        <w:t xml:space="preserve">- </w:t>
      </w:r>
      <w:r w:rsidR="008308FC">
        <w:rPr>
          <w:sz w:val="22"/>
          <w:szCs w:val="22"/>
        </w:rPr>
        <w:t xml:space="preserve"> </w:t>
      </w:r>
      <w:r w:rsidRPr="00F26509">
        <w:rPr>
          <w:sz w:val="22"/>
          <w:szCs w:val="22"/>
        </w:rPr>
        <w:t>Beneficiaries shall keep adequate records and documentation to prove that the costs are declared according to the agreed method and formula and that the qualitative and quantitative conditions have been respected.</w:t>
      </w:r>
    </w:p>
    <w:p w:rsidR="00F26509" w:rsidRPr="00F26509" w:rsidRDefault="00F26509" w:rsidP="008308FC">
      <w:pPr>
        <w:spacing w:before="120" w:after="120"/>
        <w:ind w:left="114" w:hanging="284"/>
        <w:jc w:val="both"/>
        <w:rPr>
          <w:sz w:val="22"/>
          <w:szCs w:val="22"/>
        </w:rPr>
      </w:pPr>
      <w:r w:rsidRPr="00F26509">
        <w:rPr>
          <w:sz w:val="22"/>
          <w:szCs w:val="22"/>
        </w:rPr>
        <w:t xml:space="preserve">- </w:t>
      </w:r>
      <w:r w:rsidR="008308FC">
        <w:rPr>
          <w:sz w:val="22"/>
          <w:szCs w:val="22"/>
        </w:rPr>
        <w:t xml:space="preserve">  </w:t>
      </w:r>
      <w:r w:rsidRPr="00F26509">
        <w:rPr>
          <w:sz w:val="22"/>
          <w:szCs w:val="22"/>
        </w:rPr>
        <w:t xml:space="preserve">If a verification/audit reveals that the calculation methods used by the beneficiary(ies) or its affiliated entity(ies) to determine unit costs, lump sums or flat-rates are not in line with relevant conditions or factual information (e.g. the generating events have not occurred), the </w:t>
      </w:r>
      <w:r w:rsidR="002B2D63">
        <w:rPr>
          <w:sz w:val="22"/>
          <w:szCs w:val="22"/>
        </w:rPr>
        <w:t>contracting authority</w:t>
      </w:r>
      <w:r w:rsidRPr="00F26509">
        <w:rPr>
          <w:sz w:val="22"/>
          <w:szCs w:val="22"/>
        </w:rPr>
        <w:t xml:space="preserve"> may establish such costs as not eligible and recover up to the amount of the simplified cost options used.</w:t>
      </w:r>
    </w:p>
    <w:p w:rsidR="00262C0E" w:rsidRPr="00DB79A2" w:rsidRDefault="001B007E" w:rsidP="0074131C">
      <w:pPr>
        <w:spacing w:before="120" w:after="120"/>
        <w:ind w:left="284" w:hanging="284"/>
        <w:jc w:val="both"/>
        <w:rPr>
          <w:sz w:val="22"/>
          <w:szCs w:val="22"/>
        </w:rPr>
      </w:pPr>
      <w:r w:rsidRPr="001B007E">
        <w:rPr>
          <w:b/>
          <w:sz w:val="22"/>
          <w:szCs w:val="22"/>
        </w:rPr>
        <w:t xml:space="preserve">Example of a Budget for </w:t>
      </w:r>
      <w:r w:rsidR="00710418">
        <w:rPr>
          <w:b/>
          <w:sz w:val="22"/>
          <w:szCs w:val="22"/>
        </w:rPr>
        <w:t>an</w:t>
      </w:r>
      <w:r w:rsidRPr="001B007E">
        <w:rPr>
          <w:b/>
          <w:sz w:val="22"/>
          <w:szCs w:val="22"/>
        </w:rPr>
        <w:t xml:space="preserve"> action with </w:t>
      </w:r>
      <w:r w:rsidR="00A61E0B">
        <w:rPr>
          <w:b/>
          <w:sz w:val="22"/>
          <w:szCs w:val="22"/>
        </w:rPr>
        <w:t xml:space="preserve">some </w:t>
      </w:r>
      <w:r w:rsidRPr="001B007E">
        <w:rPr>
          <w:b/>
          <w:sz w:val="22"/>
          <w:szCs w:val="22"/>
        </w:rPr>
        <w:t>output-based SCOs</w:t>
      </w:r>
      <w:r w:rsidR="00136EEF">
        <w:rPr>
          <w:b/>
          <w:sz w:val="22"/>
          <w:szCs w:val="22"/>
        </w:rPr>
        <w:t>:</w:t>
      </w:r>
    </w:p>
    <w:p w:rsidR="00262C0E" w:rsidRPr="00DB79A2" w:rsidRDefault="00025B15" w:rsidP="00BF439F">
      <w:pPr>
        <w:pBdr>
          <w:top w:val="single" w:sz="8" w:space="1" w:color="auto"/>
          <w:left w:val="single" w:sz="8" w:space="4" w:color="auto"/>
          <w:bottom w:val="single" w:sz="8" w:space="1" w:color="auto"/>
          <w:right w:val="single" w:sz="8" w:space="4" w:color="auto"/>
        </w:pBdr>
        <w:spacing w:before="120"/>
        <w:jc w:val="both"/>
        <w:rPr>
          <w:b/>
          <w:u w:val="single"/>
        </w:rPr>
      </w:pPr>
      <w:r w:rsidRPr="00DB79A2">
        <w:rPr>
          <w:b/>
          <w:u w:val="single"/>
        </w:rPr>
        <w:t xml:space="preserve">NB: </w:t>
      </w:r>
      <w:r w:rsidR="00262C0E" w:rsidRPr="00DB79A2">
        <w:rPr>
          <w:b/>
          <w:u w:val="single"/>
        </w:rPr>
        <w:t xml:space="preserve">Information to be included in </w:t>
      </w:r>
      <w:r w:rsidR="00565643" w:rsidRPr="00DB79A2">
        <w:rPr>
          <w:b/>
          <w:u w:val="single"/>
        </w:rPr>
        <w:t xml:space="preserve">the </w:t>
      </w:r>
      <w:r w:rsidR="00ED269E">
        <w:rPr>
          <w:b/>
          <w:u w:val="single"/>
        </w:rPr>
        <w:t>a</w:t>
      </w:r>
      <w:r w:rsidR="00565643" w:rsidRPr="00DB79A2">
        <w:rPr>
          <w:b/>
          <w:u w:val="single"/>
        </w:rPr>
        <w:t xml:space="preserve">ction </w:t>
      </w:r>
      <w:r w:rsidR="00ED269E">
        <w:rPr>
          <w:b/>
          <w:u w:val="single"/>
        </w:rPr>
        <w:t>b</w:t>
      </w:r>
      <w:r w:rsidR="00565643" w:rsidRPr="00DB79A2">
        <w:rPr>
          <w:b/>
          <w:u w:val="single"/>
        </w:rPr>
        <w:t xml:space="preserve">udget </w:t>
      </w:r>
      <w:r w:rsidR="00262C0E" w:rsidRPr="00DB79A2">
        <w:rPr>
          <w:b/>
          <w:u w:val="single"/>
        </w:rPr>
        <w:t xml:space="preserve">in case of simplified cost options </w:t>
      </w:r>
    </w:p>
    <w:p w:rsidR="00262C0E" w:rsidRPr="00DB79A2" w:rsidRDefault="00565643" w:rsidP="00BF439F">
      <w:pPr>
        <w:pBdr>
          <w:top w:val="single" w:sz="8" w:space="1" w:color="auto"/>
          <w:left w:val="single" w:sz="8" w:space="4" w:color="auto"/>
          <w:bottom w:val="single" w:sz="8" w:space="1" w:color="auto"/>
          <w:right w:val="single" w:sz="8" w:space="4" w:color="auto"/>
        </w:pBdr>
        <w:spacing w:before="120"/>
        <w:jc w:val="both"/>
        <w:rPr>
          <w:sz w:val="22"/>
          <w:szCs w:val="22"/>
        </w:rPr>
      </w:pPr>
      <w:r w:rsidRPr="00DB79A2">
        <w:rPr>
          <w:sz w:val="22"/>
          <w:szCs w:val="22"/>
        </w:rPr>
        <w:t>A</w:t>
      </w:r>
      <w:r w:rsidR="00F61971" w:rsidRPr="00DB79A2">
        <w:rPr>
          <w:sz w:val="22"/>
          <w:szCs w:val="22"/>
        </w:rPr>
        <w:t>pplicant</w:t>
      </w:r>
      <w:r w:rsidRPr="00DB79A2">
        <w:rPr>
          <w:sz w:val="22"/>
          <w:szCs w:val="22"/>
        </w:rPr>
        <w:t>s</w:t>
      </w:r>
      <w:r w:rsidR="00F61971" w:rsidRPr="00DB79A2">
        <w:rPr>
          <w:sz w:val="22"/>
          <w:szCs w:val="22"/>
        </w:rPr>
        <w:t xml:space="preserve"> propos</w:t>
      </w:r>
      <w:r w:rsidR="00E9289E" w:rsidRPr="00DB79A2">
        <w:rPr>
          <w:sz w:val="22"/>
          <w:szCs w:val="22"/>
        </w:rPr>
        <w:t>ing</w:t>
      </w:r>
      <w:r w:rsidR="00F61971" w:rsidRPr="00DB79A2">
        <w:rPr>
          <w:sz w:val="22"/>
          <w:szCs w:val="22"/>
        </w:rPr>
        <w:t xml:space="preserve"> </w:t>
      </w:r>
      <w:r w:rsidR="00E7550C">
        <w:rPr>
          <w:sz w:val="22"/>
          <w:szCs w:val="22"/>
        </w:rPr>
        <w:t xml:space="preserve">output or result-based </w:t>
      </w:r>
      <w:r w:rsidRPr="00DB79A2">
        <w:rPr>
          <w:sz w:val="22"/>
          <w:szCs w:val="22"/>
        </w:rPr>
        <w:t xml:space="preserve">simplified cost options </w:t>
      </w:r>
      <w:r w:rsidR="00E9289E" w:rsidRPr="00DB79A2">
        <w:rPr>
          <w:sz w:val="22"/>
          <w:szCs w:val="22"/>
        </w:rPr>
        <w:t>must</w:t>
      </w:r>
      <w:r w:rsidR="00F61971" w:rsidRPr="00DB79A2">
        <w:rPr>
          <w:sz w:val="22"/>
          <w:szCs w:val="22"/>
        </w:rPr>
        <w:t xml:space="preserve"> clearly indicat</w:t>
      </w:r>
      <w:r w:rsidR="00E9289E" w:rsidRPr="00DB79A2">
        <w:rPr>
          <w:sz w:val="22"/>
          <w:szCs w:val="22"/>
        </w:rPr>
        <w:t>e</w:t>
      </w:r>
      <w:r w:rsidR="00F61971" w:rsidRPr="00DB79A2">
        <w:rPr>
          <w:sz w:val="22"/>
          <w:szCs w:val="22"/>
        </w:rPr>
        <w:t xml:space="preserve"> </w:t>
      </w:r>
      <w:r w:rsidR="00F61971" w:rsidRPr="00DB79A2">
        <w:rPr>
          <w:bCs/>
          <w:sz w:val="22"/>
          <w:szCs w:val="22"/>
        </w:rPr>
        <w:t xml:space="preserve">in </w:t>
      </w:r>
      <w:r w:rsidRPr="00DB79A2">
        <w:rPr>
          <w:bCs/>
          <w:sz w:val="22"/>
          <w:szCs w:val="22"/>
        </w:rPr>
        <w:t xml:space="preserve">the first </w:t>
      </w:r>
      <w:r w:rsidR="00F61971" w:rsidRPr="00DB79A2">
        <w:rPr>
          <w:sz w:val="22"/>
          <w:szCs w:val="22"/>
        </w:rPr>
        <w:t xml:space="preserve">worksheet </w:t>
      </w:r>
      <w:r w:rsidR="00D50C01" w:rsidRPr="00DB79A2">
        <w:rPr>
          <w:sz w:val="22"/>
          <w:szCs w:val="22"/>
        </w:rPr>
        <w:t xml:space="preserve">of </w:t>
      </w:r>
      <w:r w:rsidRPr="00DB79A2">
        <w:rPr>
          <w:sz w:val="22"/>
          <w:szCs w:val="22"/>
        </w:rPr>
        <w:t xml:space="preserve">the </w:t>
      </w:r>
      <w:r w:rsidR="00ED269E">
        <w:rPr>
          <w:sz w:val="22"/>
          <w:szCs w:val="22"/>
        </w:rPr>
        <w:t>a</w:t>
      </w:r>
      <w:r w:rsidRPr="00DB79A2">
        <w:rPr>
          <w:sz w:val="22"/>
          <w:szCs w:val="22"/>
        </w:rPr>
        <w:t xml:space="preserve">ction </w:t>
      </w:r>
      <w:r w:rsidR="00ED269E">
        <w:rPr>
          <w:sz w:val="22"/>
          <w:szCs w:val="22"/>
        </w:rPr>
        <w:t>b</w:t>
      </w:r>
      <w:r w:rsidRPr="00DB79A2">
        <w:rPr>
          <w:sz w:val="22"/>
          <w:szCs w:val="22"/>
        </w:rPr>
        <w:t>udget</w:t>
      </w:r>
      <w:r w:rsidR="00E9289E" w:rsidRPr="00DB79A2">
        <w:rPr>
          <w:bCs/>
          <w:sz w:val="22"/>
          <w:szCs w:val="22"/>
        </w:rPr>
        <w:t>,</w:t>
      </w:r>
      <w:r w:rsidR="00F61971" w:rsidRPr="00DB79A2">
        <w:rPr>
          <w:sz w:val="22"/>
          <w:szCs w:val="22"/>
        </w:rPr>
        <w:t xml:space="preserve"> each heading/item</w:t>
      </w:r>
      <w:r w:rsidR="00F61971" w:rsidRPr="00DB79A2">
        <w:rPr>
          <w:rStyle w:val="FootnoteReference"/>
          <w:szCs w:val="22"/>
        </w:rPr>
        <w:footnoteReference w:id="3"/>
      </w:r>
      <w:r w:rsidR="00F61971" w:rsidRPr="00DB79A2">
        <w:rPr>
          <w:sz w:val="22"/>
          <w:szCs w:val="22"/>
        </w:rPr>
        <w:t xml:space="preserve"> of eligible costs concerned by this type of financing, i.e. </w:t>
      </w:r>
      <w:r w:rsidRPr="00DB79A2">
        <w:rPr>
          <w:sz w:val="22"/>
          <w:szCs w:val="22"/>
        </w:rPr>
        <w:t xml:space="preserve">state </w:t>
      </w:r>
      <w:r w:rsidR="00F61971" w:rsidRPr="00DB79A2">
        <w:rPr>
          <w:sz w:val="22"/>
          <w:szCs w:val="22"/>
        </w:rPr>
        <w:t>in capital letters</w:t>
      </w:r>
      <w:r w:rsidR="00E9289E" w:rsidRPr="00DB79A2">
        <w:rPr>
          <w:sz w:val="22"/>
          <w:szCs w:val="22"/>
        </w:rPr>
        <w:t xml:space="preserve"> </w:t>
      </w:r>
      <w:r w:rsidR="00566457">
        <w:rPr>
          <w:sz w:val="22"/>
          <w:szCs w:val="22"/>
        </w:rPr>
        <w:t>‘</w:t>
      </w:r>
      <w:r w:rsidR="00F61971" w:rsidRPr="00DB79A2">
        <w:rPr>
          <w:sz w:val="22"/>
          <w:szCs w:val="22"/>
        </w:rPr>
        <w:t xml:space="preserve">UNIT </w:t>
      </w:r>
      <w:r w:rsidR="00E77F3A" w:rsidRPr="00DB79A2">
        <w:rPr>
          <w:sz w:val="22"/>
          <w:szCs w:val="22"/>
        </w:rPr>
        <w:t>COST</w:t>
      </w:r>
      <w:r w:rsidR="00566457">
        <w:rPr>
          <w:sz w:val="22"/>
          <w:szCs w:val="22"/>
        </w:rPr>
        <w:t>’</w:t>
      </w:r>
      <w:r w:rsidR="00E9289E" w:rsidRPr="00DB79A2">
        <w:rPr>
          <w:sz w:val="22"/>
          <w:szCs w:val="22"/>
        </w:rPr>
        <w:t xml:space="preserve"> (per </w:t>
      </w:r>
      <w:r w:rsidR="00793531">
        <w:rPr>
          <w:sz w:val="22"/>
          <w:szCs w:val="22"/>
        </w:rPr>
        <w:t xml:space="preserve">output/activity, </w:t>
      </w:r>
      <w:r w:rsidR="009046CE" w:rsidRPr="00DB79A2">
        <w:rPr>
          <w:sz w:val="22"/>
          <w:szCs w:val="22"/>
        </w:rPr>
        <w:t>etc.</w:t>
      </w:r>
      <w:r w:rsidR="00E9289E" w:rsidRPr="00DB79A2">
        <w:rPr>
          <w:sz w:val="22"/>
          <w:szCs w:val="22"/>
        </w:rPr>
        <w:t>)</w:t>
      </w:r>
      <w:r w:rsidR="00793531">
        <w:rPr>
          <w:sz w:val="22"/>
          <w:szCs w:val="22"/>
        </w:rPr>
        <w:t xml:space="preserve"> or </w:t>
      </w:r>
      <w:r w:rsidR="00F61971" w:rsidRPr="00DB79A2">
        <w:rPr>
          <w:sz w:val="22"/>
          <w:szCs w:val="22"/>
        </w:rPr>
        <w:t xml:space="preserve"> </w:t>
      </w:r>
      <w:r w:rsidR="00566457">
        <w:rPr>
          <w:sz w:val="22"/>
          <w:szCs w:val="22"/>
        </w:rPr>
        <w:t>‘</w:t>
      </w:r>
      <w:r w:rsidR="00F61971" w:rsidRPr="00DB79A2">
        <w:rPr>
          <w:sz w:val="22"/>
          <w:szCs w:val="22"/>
        </w:rPr>
        <w:t>LUMP</w:t>
      </w:r>
      <w:r w:rsidR="00D50C01" w:rsidRPr="00DB79A2">
        <w:rPr>
          <w:sz w:val="22"/>
          <w:szCs w:val="22"/>
        </w:rPr>
        <w:t xml:space="preserve"> </w:t>
      </w:r>
      <w:r w:rsidR="00ED6DAE">
        <w:rPr>
          <w:sz w:val="22"/>
          <w:szCs w:val="22"/>
        </w:rPr>
        <w:t>SUM</w:t>
      </w:r>
      <w:r w:rsidR="00566457">
        <w:rPr>
          <w:sz w:val="22"/>
          <w:szCs w:val="22"/>
        </w:rPr>
        <w:t>’</w:t>
      </w:r>
      <w:r w:rsidR="00ED6DAE">
        <w:rPr>
          <w:sz w:val="22"/>
          <w:szCs w:val="22"/>
        </w:rPr>
        <w:t xml:space="preserve"> </w:t>
      </w:r>
      <w:r w:rsidR="00F61971" w:rsidRPr="0074131C">
        <w:rPr>
          <w:sz w:val="22"/>
          <w:szCs w:val="22"/>
        </w:rPr>
        <w:t>in the Unit</w:t>
      </w:r>
      <w:r w:rsidR="00F56245" w:rsidRPr="0074131C">
        <w:rPr>
          <w:sz w:val="22"/>
          <w:szCs w:val="22"/>
        </w:rPr>
        <w:t xml:space="preserve"> </w:t>
      </w:r>
      <w:r w:rsidR="00F61971" w:rsidRPr="0074131C">
        <w:rPr>
          <w:sz w:val="22"/>
          <w:szCs w:val="22"/>
        </w:rPr>
        <w:t>column</w:t>
      </w:r>
      <w:r w:rsidR="00262C0E" w:rsidRPr="0074131C">
        <w:rPr>
          <w:sz w:val="22"/>
          <w:szCs w:val="22"/>
        </w:rPr>
        <w:t>, as in the example below.</w:t>
      </w:r>
      <w:r w:rsidR="00262C0E" w:rsidRPr="00DB79A2">
        <w:rPr>
          <w:sz w:val="22"/>
          <w:szCs w:val="22"/>
        </w:rPr>
        <w:t xml:space="preserve"> </w:t>
      </w:r>
    </w:p>
    <w:p w:rsidR="00262C0E" w:rsidRPr="00DB79A2" w:rsidRDefault="00262C0E" w:rsidP="00DB79A2">
      <w:pPr>
        <w:spacing w:before="120" w:after="120"/>
        <w:rPr>
          <w:sz w:val="22"/>
          <w:szCs w:val="22"/>
        </w:rPr>
      </w:pPr>
    </w:p>
    <w:tbl>
      <w:tblPr>
        <w:tblW w:w="5000" w:type="pct"/>
        <w:tblLook w:val="04A0" w:firstRow="1" w:lastRow="0" w:firstColumn="1" w:lastColumn="0" w:noHBand="0" w:noVBand="1"/>
      </w:tblPr>
      <w:tblGrid>
        <w:gridCol w:w="2667"/>
        <w:gridCol w:w="3716"/>
        <w:gridCol w:w="1007"/>
        <w:gridCol w:w="715"/>
        <w:gridCol w:w="1183"/>
      </w:tblGrid>
      <w:tr w:rsidR="00262C0E" w:rsidRPr="00B344FC" w:rsidTr="00A61E0B">
        <w:trPr>
          <w:trHeight w:val="480"/>
        </w:trPr>
        <w:tc>
          <w:tcPr>
            <w:tcW w:w="1436" w:type="pct"/>
            <w:tcBorders>
              <w:top w:val="single" w:sz="8" w:space="0" w:color="auto"/>
              <w:left w:val="single" w:sz="8" w:space="0" w:color="auto"/>
              <w:bottom w:val="single" w:sz="8" w:space="0" w:color="auto"/>
              <w:right w:val="nil"/>
            </w:tcBorders>
            <w:shd w:val="clear" w:color="auto" w:fill="BFBFBF"/>
            <w:hideMark/>
          </w:tcPr>
          <w:p w:rsidR="00262C0E" w:rsidRPr="00B344FC" w:rsidRDefault="00262C0E" w:rsidP="00DB79A2">
            <w:pPr>
              <w:jc w:val="center"/>
              <w:rPr>
                <w:b/>
              </w:rPr>
            </w:pPr>
            <w:r w:rsidRPr="00B344FC">
              <w:rPr>
                <w:b/>
                <w:bCs/>
              </w:rPr>
              <w:t xml:space="preserve"> </w:t>
            </w:r>
            <w:r w:rsidRPr="00B344FC">
              <w:rPr>
                <w:b/>
              </w:rPr>
              <w:t xml:space="preserve">Budget for the </w:t>
            </w:r>
            <w:r w:rsidR="00ED269E">
              <w:rPr>
                <w:b/>
              </w:rPr>
              <w:t>a</w:t>
            </w:r>
            <w:r w:rsidRPr="00B344FC">
              <w:rPr>
                <w:b/>
              </w:rPr>
              <w:t>ction</w:t>
            </w:r>
          </w:p>
        </w:tc>
        <w:tc>
          <w:tcPr>
            <w:tcW w:w="3564" w:type="pct"/>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62C0E" w:rsidRPr="00B344FC" w:rsidRDefault="00262C0E" w:rsidP="00DB79A2">
            <w:pPr>
              <w:jc w:val="center"/>
              <w:rPr>
                <w:b/>
              </w:rPr>
            </w:pPr>
            <w:r w:rsidRPr="00B344FC">
              <w:rPr>
                <w:b/>
              </w:rPr>
              <w:t xml:space="preserve">All </w:t>
            </w:r>
            <w:r w:rsidR="00A74E3F">
              <w:rPr>
                <w:b/>
              </w:rPr>
              <w:t>y</w:t>
            </w:r>
            <w:r w:rsidRPr="00B344FC">
              <w:rPr>
                <w:b/>
              </w:rPr>
              <w:t>ears</w:t>
            </w:r>
          </w:p>
        </w:tc>
      </w:tr>
      <w:tr w:rsidR="007D7560" w:rsidRPr="00B344FC" w:rsidTr="00A61E0B">
        <w:trPr>
          <w:trHeight w:val="736"/>
        </w:trPr>
        <w:tc>
          <w:tcPr>
            <w:tcW w:w="1436" w:type="pct"/>
            <w:tcBorders>
              <w:top w:val="single" w:sz="8" w:space="0" w:color="auto"/>
              <w:left w:val="single" w:sz="8" w:space="0" w:color="auto"/>
              <w:bottom w:val="single" w:sz="4" w:space="0" w:color="auto"/>
              <w:right w:val="single" w:sz="4" w:space="0" w:color="auto"/>
            </w:tcBorders>
            <w:shd w:val="clear" w:color="000000" w:fill="C0C0C0"/>
            <w:vAlign w:val="center"/>
            <w:hideMark/>
          </w:tcPr>
          <w:p w:rsidR="00262C0E" w:rsidRPr="00B344FC" w:rsidRDefault="00262C0E" w:rsidP="008308FC">
            <w:pPr>
              <w:jc w:val="center"/>
              <w:rPr>
                <w:b/>
              </w:rPr>
            </w:pPr>
            <w:r w:rsidRPr="00B344FC">
              <w:rPr>
                <w:b/>
              </w:rPr>
              <w:t>Costs</w:t>
            </w:r>
          </w:p>
        </w:tc>
        <w:tc>
          <w:tcPr>
            <w:tcW w:w="2000" w:type="pct"/>
            <w:tcBorders>
              <w:top w:val="nil"/>
              <w:left w:val="nil"/>
              <w:bottom w:val="single" w:sz="4" w:space="0" w:color="auto"/>
              <w:right w:val="single" w:sz="4" w:space="0" w:color="auto"/>
            </w:tcBorders>
            <w:shd w:val="clear" w:color="000000" w:fill="C0C0C0"/>
            <w:noWrap/>
            <w:hideMark/>
          </w:tcPr>
          <w:p w:rsidR="008308FC" w:rsidRDefault="008308FC" w:rsidP="008308FC">
            <w:pPr>
              <w:jc w:val="center"/>
              <w:rPr>
                <w:b/>
              </w:rPr>
            </w:pPr>
            <w:r>
              <w:rPr>
                <w:b/>
              </w:rPr>
              <w:br/>
            </w:r>
          </w:p>
          <w:p w:rsidR="00262C0E" w:rsidRPr="00B344FC" w:rsidRDefault="00262C0E" w:rsidP="008308FC">
            <w:pPr>
              <w:jc w:val="center"/>
              <w:rPr>
                <w:b/>
              </w:rPr>
            </w:pPr>
            <w:r w:rsidRPr="00B344FC">
              <w:rPr>
                <w:b/>
              </w:rPr>
              <w:t>Unit</w:t>
            </w:r>
          </w:p>
        </w:tc>
        <w:tc>
          <w:tcPr>
            <w:tcW w:w="542" w:type="pct"/>
            <w:tcBorders>
              <w:top w:val="nil"/>
              <w:left w:val="nil"/>
              <w:bottom w:val="single" w:sz="4" w:space="0" w:color="auto"/>
              <w:right w:val="single" w:sz="4" w:space="0" w:color="auto"/>
            </w:tcBorders>
            <w:shd w:val="clear" w:color="000000" w:fill="C0C0C0"/>
            <w:noWrap/>
            <w:hideMark/>
          </w:tcPr>
          <w:p w:rsidR="00262C0E" w:rsidRPr="00B344FC" w:rsidRDefault="00262C0E" w:rsidP="008308FC">
            <w:pPr>
              <w:jc w:val="center"/>
              <w:rPr>
                <w:b/>
              </w:rPr>
            </w:pPr>
            <w:r w:rsidRPr="00B344FC">
              <w:rPr>
                <w:b/>
              </w:rPr>
              <w:t># of units</w:t>
            </w:r>
          </w:p>
        </w:tc>
        <w:tc>
          <w:tcPr>
            <w:tcW w:w="385" w:type="pct"/>
            <w:tcBorders>
              <w:top w:val="nil"/>
              <w:left w:val="nil"/>
              <w:bottom w:val="single" w:sz="4" w:space="0" w:color="auto"/>
              <w:right w:val="single" w:sz="4" w:space="0" w:color="auto"/>
            </w:tcBorders>
            <w:shd w:val="clear" w:color="000000" w:fill="C0C0C0"/>
            <w:hideMark/>
          </w:tcPr>
          <w:p w:rsidR="00262C0E" w:rsidRPr="00B344FC" w:rsidRDefault="00262C0E" w:rsidP="008308FC">
            <w:pPr>
              <w:jc w:val="center"/>
              <w:rPr>
                <w:b/>
              </w:rPr>
            </w:pPr>
            <w:r w:rsidRPr="00B344FC">
              <w:rPr>
                <w:b/>
              </w:rPr>
              <w:t xml:space="preserve">Unit </w:t>
            </w:r>
            <w:r w:rsidR="00F56245" w:rsidRPr="00B344FC">
              <w:rPr>
                <w:b/>
              </w:rPr>
              <w:t>value</w:t>
            </w:r>
            <w:r w:rsidRPr="00B344FC">
              <w:rPr>
                <w:b/>
              </w:rPr>
              <w:t xml:space="preserve"> </w:t>
            </w:r>
            <w:r w:rsidRPr="00B344FC">
              <w:rPr>
                <w:b/>
              </w:rPr>
              <w:br/>
              <w:t>(in EUR)</w:t>
            </w:r>
          </w:p>
        </w:tc>
        <w:tc>
          <w:tcPr>
            <w:tcW w:w="637" w:type="pct"/>
            <w:tcBorders>
              <w:top w:val="nil"/>
              <w:left w:val="nil"/>
              <w:bottom w:val="single" w:sz="4" w:space="0" w:color="auto"/>
              <w:right w:val="single" w:sz="8" w:space="0" w:color="auto"/>
            </w:tcBorders>
            <w:shd w:val="clear" w:color="000000" w:fill="C0C0C0"/>
            <w:hideMark/>
          </w:tcPr>
          <w:p w:rsidR="00262C0E" w:rsidRPr="00B344FC" w:rsidRDefault="00262C0E" w:rsidP="008308FC">
            <w:pPr>
              <w:jc w:val="center"/>
              <w:rPr>
                <w:b/>
              </w:rPr>
            </w:pPr>
            <w:r w:rsidRPr="00B344FC">
              <w:rPr>
                <w:b/>
              </w:rPr>
              <w:t>Costs</w:t>
            </w:r>
            <w:r w:rsidRPr="00B344FC">
              <w:rPr>
                <w:b/>
              </w:rPr>
              <w:br/>
              <w:t>(in EUR)</w:t>
            </w:r>
          </w:p>
        </w:tc>
      </w:tr>
      <w:tr w:rsidR="00262C0E" w:rsidRPr="00B344FC"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262C0E" w:rsidRPr="00B344FC" w:rsidRDefault="00262C0E" w:rsidP="00DB79A2">
            <w:pPr>
              <w:rPr>
                <w:b/>
              </w:rPr>
            </w:pPr>
            <w:r w:rsidRPr="00B344FC">
              <w:rPr>
                <w:b/>
              </w:rPr>
              <w:t>1.</w:t>
            </w:r>
            <w:r w:rsidRPr="00B344FC">
              <w:rPr>
                <w:b/>
                <w:bCs/>
              </w:rPr>
              <w:t xml:space="preserve"> </w:t>
            </w:r>
            <w:r w:rsidRPr="00B344FC">
              <w:rPr>
                <w:b/>
              </w:rPr>
              <w:t xml:space="preserve">Human </w:t>
            </w:r>
            <w:r w:rsidR="00A74E3F">
              <w:rPr>
                <w:b/>
              </w:rPr>
              <w:t>r</w:t>
            </w:r>
            <w:r w:rsidRPr="00B344FC">
              <w:rPr>
                <w:b/>
              </w:rPr>
              <w:t>esources</w:t>
            </w:r>
          </w:p>
        </w:tc>
        <w:tc>
          <w:tcPr>
            <w:tcW w:w="2000"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D7560">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DB79A2">
            <w:pPr>
              <w:rPr>
                <w:b/>
              </w:rPr>
            </w:pPr>
            <w:r w:rsidRPr="00B344FC">
              <w:rPr>
                <w:b/>
                <w:bCs/>
              </w:rPr>
              <w:t> </w:t>
            </w:r>
          </w:p>
        </w:tc>
        <w:tc>
          <w:tcPr>
            <w:tcW w:w="385"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B75158">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262C0E" w:rsidRPr="00B344FC" w:rsidRDefault="00262C0E" w:rsidP="00DB79A2">
            <w:pPr>
              <w:rPr>
                <w:b/>
              </w:rPr>
            </w:pPr>
            <w:r w:rsidRPr="00B344FC">
              <w:rPr>
                <w:b/>
              </w:rPr>
              <w:t> </w:t>
            </w:r>
          </w:p>
        </w:tc>
      </w:tr>
      <w:tr w:rsidR="00262C0E" w:rsidRPr="00B344FC" w:rsidTr="00A61E0B">
        <w:trPr>
          <w:trHeight w:val="992"/>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262C0E" w:rsidRPr="00B344FC" w:rsidRDefault="00262C0E" w:rsidP="00DB79A2">
            <w:r w:rsidRPr="00B344FC">
              <w:t>1.1 Salaries (gross salaries including social security charges and other related costs, local staff)</w:t>
            </w:r>
          </w:p>
        </w:tc>
        <w:tc>
          <w:tcPr>
            <w:tcW w:w="2000"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D7560">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DB79A2">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B75158">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262C0E" w:rsidRPr="00B344FC" w:rsidRDefault="00262C0E" w:rsidP="00B75158">
            <w:pPr>
              <w:jc w:val="right"/>
            </w:pPr>
            <w:r w:rsidRPr="00B344FC">
              <w:t> </w:t>
            </w:r>
          </w:p>
        </w:tc>
      </w:tr>
      <w:tr w:rsidR="00262C0E"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262C0E" w:rsidRPr="00B344FC" w:rsidRDefault="00262C0E" w:rsidP="00DB79A2">
            <w:r w:rsidRPr="00B344FC">
              <w:lastRenderedPageBreak/>
              <w:t xml:space="preserve">   1.1.1 Technical</w:t>
            </w:r>
            <w:r w:rsidR="001B007E">
              <w:t xml:space="preserve"> staff</w:t>
            </w:r>
          </w:p>
        </w:tc>
        <w:tc>
          <w:tcPr>
            <w:tcW w:w="2000"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D7560">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B75158">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rsidR="00262C0E" w:rsidRPr="00B344FC" w:rsidRDefault="00262C0E" w:rsidP="007C23EE">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262C0E" w:rsidRPr="00B344FC" w:rsidRDefault="00262C0E" w:rsidP="007C23EE">
            <w:pPr>
              <w:jc w:val="right"/>
            </w:pPr>
            <w:r w:rsidRPr="00B344FC">
              <w:t> </w:t>
            </w: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tcPr>
          <w:p w:rsidR="00884E9C" w:rsidRPr="00B344FC" w:rsidRDefault="00884E9C" w:rsidP="00884E9C">
            <w:r>
              <w:t>1.1.1.1 Event managers in charge of the final conference organisation</w:t>
            </w:r>
          </w:p>
        </w:tc>
        <w:tc>
          <w:tcPr>
            <w:tcW w:w="2000" w:type="pct"/>
            <w:tcBorders>
              <w:top w:val="nil"/>
              <w:left w:val="nil"/>
              <w:bottom w:val="single" w:sz="4" w:space="0" w:color="auto"/>
              <w:right w:val="single" w:sz="4" w:space="0" w:color="auto"/>
            </w:tcBorders>
            <w:shd w:val="clear" w:color="auto" w:fill="auto"/>
            <w:noWrap/>
            <w:vAlign w:val="bottom"/>
          </w:tcPr>
          <w:p w:rsidR="00884E9C" w:rsidRPr="001B007E" w:rsidDel="00D12A88" w:rsidRDefault="00884E9C" w:rsidP="00884E9C">
            <w:pPr>
              <w:jc w:val="center"/>
            </w:pPr>
            <w:r w:rsidRPr="00795AB4">
              <w:rPr>
                <w:b/>
              </w:rPr>
              <w:t>UNIT COST</w:t>
            </w:r>
            <w:r>
              <w:t xml:space="preserve"> (per conference organisation)</w:t>
            </w:r>
          </w:p>
        </w:tc>
        <w:tc>
          <w:tcPr>
            <w:tcW w:w="542" w:type="pct"/>
            <w:tcBorders>
              <w:top w:val="nil"/>
              <w:left w:val="nil"/>
              <w:bottom w:val="single" w:sz="4" w:space="0" w:color="auto"/>
              <w:right w:val="single" w:sz="4" w:space="0" w:color="auto"/>
            </w:tcBorders>
            <w:shd w:val="clear" w:color="auto" w:fill="auto"/>
            <w:noWrap/>
            <w:vAlign w:val="bottom"/>
          </w:tcPr>
          <w:p w:rsidR="00884E9C" w:rsidRPr="00B344FC" w:rsidDel="00D12A88" w:rsidRDefault="00884E9C" w:rsidP="00884E9C">
            <w:pPr>
              <w:jc w:val="center"/>
            </w:pPr>
            <w:r>
              <w:t>3</w:t>
            </w:r>
          </w:p>
        </w:tc>
        <w:tc>
          <w:tcPr>
            <w:tcW w:w="385" w:type="pct"/>
            <w:tcBorders>
              <w:top w:val="nil"/>
              <w:left w:val="nil"/>
              <w:bottom w:val="single" w:sz="4" w:space="0" w:color="auto"/>
              <w:right w:val="single" w:sz="4" w:space="0" w:color="auto"/>
            </w:tcBorders>
            <w:shd w:val="clear" w:color="auto" w:fill="auto"/>
            <w:noWrap/>
            <w:vAlign w:val="bottom"/>
          </w:tcPr>
          <w:p w:rsidR="00884E9C" w:rsidRPr="00B344FC" w:rsidDel="00671EE9" w:rsidRDefault="00884E9C" w:rsidP="00884E9C">
            <w:pPr>
              <w:jc w:val="right"/>
            </w:pPr>
            <w:r>
              <w:t>3.500</w:t>
            </w:r>
          </w:p>
        </w:tc>
        <w:tc>
          <w:tcPr>
            <w:tcW w:w="637" w:type="pct"/>
            <w:tcBorders>
              <w:top w:val="nil"/>
              <w:left w:val="nil"/>
              <w:bottom w:val="single" w:sz="4" w:space="0" w:color="auto"/>
              <w:right w:val="single" w:sz="8" w:space="0" w:color="auto"/>
            </w:tcBorders>
            <w:shd w:val="clear" w:color="auto" w:fill="auto"/>
            <w:noWrap/>
            <w:vAlign w:val="bottom"/>
          </w:tcPr>
          <w:p w:rsidR="00884E9C" w:rsidRPr="00B344FC" w:rsidRDefault="00884E9C" w:rsidP="00795AB4">
            <w:pPr>
              <w:jc w:val="center"/>
            </w:pPr>
            <w:r>
              <w:t>10.500</w:t>
            </w: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 xml:space="preserve">   1.1.2 Administrative/ support staff</w:t>
            </w:r>
          </w:p>
        </w:tc>
        <w:tc>
          <w:tcPr>
            <w:tcW w:w="2000" w:type="pct"/>
            <w:tcBorders>
              <w:top w:val="nil"/>
              <w:left w:val="nil"/>
              <w:bottom w:val="single" w:sz="4" w:space="0" w:color="auto"/>
              <w:right w:val="single" w:sz="4" w:space="0" w:color="auto"/>
            </w:tcBorders>
            <w:shd w:val="clear" w:color="auto" w:fill="auto"/>
            <w:noWrap/>
            <w:vAlign w:val="bottom"/>
          </w:tcPr>
          <w:p w:rsidR="00884E9C" w:rsidRPr="00B344FC" w:rsidRDefault="00884E9C" w:rsidP="00884E9C">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p>
        </w:tc>
      </w:tr>
      <w:tr w:rsidR="00884E9C" w:rsidRPr="00B344FC"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rsidR="00884E9C" w:rsidRPr="00B344FC" w:rsidRDefault="00884E9C" w:rsidP="00884E9C">
            <w:pPr>
              <w:rPr>
                <w:b/>
                <w:i/>
              </w:rPr>
            </w:pPr>
            <w:r w:rsidRPr="00B344FC">
              <w:rPr>
                <w:b/>
                <w:i/>
              </w:rPr>
              <w:t xml:space="preserve">Subtotal Human </w:t>
            </w:r>
            <w:r>
              <w:rPr>
                <w:b/>
                <w:i/>
              </w:rPr>
              <w:t>r</w:t>
            </w:r>
            <w:r w:rsidRPr="00B344FC">
              <w:rPr>
                <w:b/>
                <w:i/>
              </w:rPr>
              <w:t>esources</w:t>
            </w:r>
          </w:p>
        </w:tc>
        <w:tc>
          <w:tcPr>
            <w:tcW w:w="2000" w:type="pct"/>
            <w:tcBorders>
              <w:top w:val="nil"/>
              <w:left w:val="nil"/>
              <w:bottom w:val="single" w:sz="4" w:space="0" w:color="auto"/>
              <w:right w:val="nil"/>
            </w:tcBorders>
            <w:shd w:val="clear" w:color="000000" w:fill="C0C0C0"/>
            <w:noWrap/>
            <w:vAlign w:val="bottom"/>
            <w:hideMark/>
          </w:tcPr>
          <w:p w:rsidR="00884E9C" w:rsidRPr="00B344FC" w:rsidRDefault="00884E9C" w:rsidP="00884E9C">
            <w:pPr>
              <w:jc w:val="center"/>
              <w:rPr>
                <w:b/>
                <w:i/>
              </w:rPr>
            </w:pPr>
            <w:r w:rsidRPr="00B344FC">
              <w:rPr>
                <w:b/>
                <w:i/>
              </w:rPr>
              <w:t> </w:t>
            </w:r>
          </w:p>
        </w:tc>
        <w:tc>
          <w:tcPr>
            <w:tcW w:w="542" w:type="pct"/>
            <w:tcBorders>
              <w:top w:val="nil"/>
              <w:left w:val="nil"/>
              <w:bottom w:val="single" w:sz="4" w:space="0" w:color="auto"/>
              <w:right w:val="nil"/>
            </w:tcBorders>
            <w:shd w:val="clear" w:color="000000" w:fill="C0C0C0"/>
            <w:noWrap/>
            <w:vAlign w:val="bottom"/>
            <w:hideMark/>
          </w:tcPr>
          <w:p w:rsidR="00884E9C" w:rsidRPr="00B344FC" w:rsidRDefault="00884E9C" w:rsidP="00884E9C">
            <w:pPr>
              <w:jc w:val="center"/>
              <w:rPr>
                <w:b/>
                <w:i/>
              </w:rPr>
            </w:pPr>
          </w:p>
        </w:tc>
        <w:tc>
          <w:tcPr>
            <w:tcW w:w="385" w:type="pct"/>
            <w:tcBorders>
              <w:top w:val="nil"/>
              <w:left w:val="nil"/>
              <w:bottom w:val="single" w:sz="4" w:space="0" w:color="auto"/>
              <w:right w:val="single" w:sz="4" w:space="0" w:color="auto"/>
            </w:tcBorders>
            <w:shd w:val="clear" w:color="000000" w:fill="C0C0C0"/>
            <w:noWrap/>
            <w:vAlign w:val="bottom"/>
            <w:hideMark/>
          </w:tcPr>
          <w:p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000000" w:fill="C0C0C0"/>
            <w:noWrap/>
            <w:vAlign w:val="bottom"/>
            <w:hideMark/>
          </w:tcPr>
          <w:p w:rsidR="00884E9C" w:rsidRPr="00B344FC" w:rsidRDefault="00884E9C" w:rsidP="00795AB4">
            <w:pPr>
              <w:jc w:val="center"/>
              <w:rPr>
                <w:b/>
              </w:rPr>
            </w:pPr>
          </w:p>
        </w:tc>
      </w:tr>
      <w:tr w:rsidR="00884E9C" w:rsidRPr="00B344FC"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884E9C" w:rsidRPr="00B344FC" w:rsidRDefault="00884E9C" w:rsidP="00884E9C">
            <w:pPr>
              <w:rPr>
                <w:b/>
              </w:rPr>
            </w:pPr>
            <w:r w:rsidRPr="00B344FC">
              <w:rPr>
                <w:b/>
              </w:rPr>
              <w:t>2.</w:t>
            </w:r>
            <w:r w:rsidRPr="00B344FC">
              <w:rPr>
                <w:b/>
                <w:bCs/>
              </w:rPr>
              <w:t xml:space="preserve"> </w:t>
            </w:r>
            <w:r w:rsidRPr="00B344FC">
              <w:rPr>
                <w:b/>
              </w:rPr>
              <w:t>Travel</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rPr>
                <w:b/>
              </w:rPr>
            </w:pP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2.1. International travel</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r>
              <w:t>LUMP SUM</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r w:rsidRPr="00B344FC">
              <w:t>5.000</w:t>
            </w:r>
          </w:p>
        </w:tc>
      </w:tr>
      <w:tr w:rsidR="00884E9C" w:rsidRPr="00B344FC"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2.2 Local transportation</w:t>
            </w:r>
            <w:r w:rsidRPr="00B344FC">
              <w:rPr>
                <w:b/>
              </w:rPr>
              <w:t xml:space="preserve"> </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r>
              <w:t>LUMP SUM</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r w:rsidRPr="00B344FC">
              <w:t>2.400</w:t>
            </w:r>
          </w:p>
        </w:tc>
      </w:tr>
      <w:tr w:rsidR="00884E9C" w:rsidRPr="00B344FC"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rsidR="00884E9C" w:rsidRPr="00B344FC" w:rsidRDefault="00884E9C" w:rsidP="00884E9C">
            <w:pPr>
              <w:rPr>
                <w:b/>
                <w:i/>
              </w:rPr>
            </w:pPr>
            <w:r w:rsidRPr="00B344FC">
              <w:rPr>
                <w:b/>
                <w:i/>
              </w:rPr>
              <w:t xml:space="preserve">Subtotal </w:t>
            </w:r>
            <w:r>
              <w:rPr>
                <w:b/>
                <w:i/>
              </w:rPr>
              <w:t xml:space="preserve">Travel </w:t>
            </w:r>
          </w:p>
        </w:tc>
        <w:tc>
          <w:tcPr>
            <w:tcW w:w="2000" w:type="pct"/>
            <w:tcBorders>
              <w:top w:val="nil"/>
              <w:left w:val="nil"/>
              <w:bottom w:val="single" w:sz="4" w:space="0" w:color="auto"/>
              <w:right w:val="nil"/>
            </w:tcBorders>
            <w:shd w:val="clear" w:color="000000" w:fill="C0C0C0"/>
            <w:noWrap/>
            <w:vAlign w:val="bottom"/>
            <w:hideMark/>
          </w:tcPr>
          <w:p w:rsidR="00884E9C" w:rsidRPr="00B344FC" w:rsidRDefault="00884E9C" w:rsidP="00884E9C">
            <w:pPr>
              <w:jc w:val="center"/>
              <w:rPr>
                <w:b/>
                <w:i/>
              </w:rPr>
            </w:pPr>
            <w:r w:rsidRPr="00B344FC">
              <w:rPr>
                <w:b/>
                <w:i/>
              </w:rPr>
              <w:t> </w:t>
            </w:r>
          </w:p>
        </w:tc>
        <w:tc>
          <w:tcPr>
            <w:tcW w:w="542" w:type="pct"/>
            <w:tcBorders>
              <w:top w:val="nil"/>
              <w:left w:val="nil"/>
              <w:bottom w:val="single" w:sz="4" w:space="0" w:color="auto"/>
              <w:right w:val="nil"/>
            </w:tcBorders>
            <w:shd w:val="clear" w:color="000000" w:fill="C0C0C0"/>
            <w:noWrap/>
            <w:vAlign w:val="bottom"/>
            <w:hideMark/>
          </w:tcPr>
          <w:p w:rsidR="00884E9C" w:rsidRPr="00B344FC" w:rsidRDefault="00884E9C" w:rsidP="00884E9C">
            <w:pPr>
              <w:rPr>
                <w:b/>
                <w:i/>
              </w:rPr>
            </w:pPr>
            <w:r w:rsidRPr="00B344FC">
              <w:rPr>
                <w:b/>
                <w:i/>
              </w:rPr>
              <w:t> </w:t>
            </w:r>
          </w:p>
        </w:tc>
        <w:tc>
          <w:tcPr>
            <w:tcW w:w="385" w:type="pct"/>
            <w:tcBorders>
              <w:top w:val="nil"/>
              <w:left w:val="nil"/>
              <w:bottom w:val="single" w:sz="4" w:space="0" w:color="auto"/>
              <w:right w:val="single" w:sz="4" w:space="0" w:color="auto"/>
            </w:tcBorders>
            <w:shd w:val="clear" w:color="000000" w:fill="C0C0C0"/>
            <w:noWrap/>
            <w:vAlign w:val="bottom"/>
            <w:hideMark/>
          </w:tcPr>
          <w:p w:rsidR="00884E9C" w:rsidRPr="00B344FC" w:rsidRDefault="00884E9C" w:rsidP="00884E9C">
            <w:pPr>
              <w:jc w:val="right"/>
              <w:rPr>
                <w:b/>
                <w:i/>
              </w:rPr>
            </w:pPr>
            <w:r w:rsidRPr="00B344FC">
              <w:rPr>
                <w:b/>
                <w:i/>
              </w:rPr>
              <w:t> </w:t>
            </w:r>
          </w:p>
        </w:tc>
        <w:tc>
          <w:tcPr>
            <w:tcW w:w="637" w:type="pct"/>
            <w:tcBorders>
              <w:top w:val="nil"/>
              <w:left w:val="nil"/>
              <w:bottom w:val="single" w:sz="4" w:space="0" w:color="auto"/>
              <w:right w:val="single" w:sz="8" w:space="0" w:color="auto"/>
            </w:tcBorders>
            <w:shd w:val="clear" w:color="000000" w:fill="C0C0C0"/>
            <w:noWrap/>
            <w:vAlign w:val="bottom"/>
            <w:hideMark/>
          </w:tcPr>
          <w:p w:rsidR="00884E9C" w:rsidRPr="00B344FC" w:rsidRDefault="00884E9C" w:rsidP="00795AB4">
            <w:pPr>
              <w:jc w:val="center"/>
              <w:rPr>
                <w:b/>
              </w:rPr>
            </w:pPr>
          </w:p>
        </w:tc>
      </w:tr>
      <w:tr w:rsidR="00884E9C" w:rsidRPr="00B344FC"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884E9C" w:rsidRPr="00B344FC" w:rsidRDefault="00884E9C" w:rsidP="00884E9C">
            <w:pPr>
              <w:rPr>
                <w:b/>
              </w:rPr>
            </w:pPr>
            <w:r w:rsidRPr="00B344FC">
              <w:rPr>
                <w:b/>
              </w:rPr>
              <w:t>5.</w:t>
            </w:r>
            <w:r w:rsidRPr="00B344FC">
              <w:rPr>
                <w:b/>
                <w:bCs/>
              </w:rPr>
              <w:t xml:space="preserve"> </w:t>
            </w:r>
            <w:r w:rsidRPr="00B344FC">
              <w:rPr>
                <w:b/>
              </w:rPr>
              <w:t>Other costs, services</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rPr>
                <w:b/>
              </w:rPr>
            </w:pPr>
            <w:r w:rsidRPr="00B344FC">
              <w:rPr>
                <w:b/>
              </w:rPr>
              <w:t> </w:t>
            </w: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rPr>
                <w:b/>
              </w:rPr>
            </w:pPr>
          </w:p>
        </w:tc>
      </w:tr>
      <w:tr w:rsidR="00884E9C" w:rsidRPr="00B344FC"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5.1 Publications</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p>
        </w:tc>
      </w:tr>
      <w:tr w:rsidR="00884E9C" w:rsidRPr="00B344FC"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84E9C" w:rsidRPr="00B344FC" w:rsidRDefault="00884E9C" w:rsidP="00884E9C">
            <w:r w:rsidRPr="00B344FC">
              <w:t>5.2 Studies, research</w:t>
            </w:r>
          </w:p>
        </w:tc>
        <w:tc>
          <w:tcPr>
            <w:tcW w:w="2000" w:type="pct"/>
            <w:tcBorders>
              <w:top w:val="nil"/>
              <w:left w:val="nil"/>
              <w:bottom w:val="single" w:sz="4" w:space="0" w:color="auto"/>
              <w:right w:val="single" w:sz="4" w:space="0" w:color="auto"/>
            </w:tcBorders>
            <w:shd w:val="clear" w:color="auto" w:fill="auto"/>
            <w:noWrap/>
            <w:vAlign w:val="bottom"/>
            <w:hideMark/>
          </w:tcPr>
          <w:p w:rsidR="00884E9C" w:rsidRPr="00B344FC" w:rsidRDefault="00884E9C" w:rsidP="00884E9C">
            <w:pPr>
              <w:jc w:val="center"/>
              <w:rPr>
                <w:b/>
              </w:rPr>
            </w:pPr>
            <w:r w:rsidRPr="00B344FC">
              <w:rPr>
                <w:b/>
              </w:rPr>
              <w:t>LUMP SUM </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884E9C" w:rsidRPr="00B344FC" w:rsidRDefault="00884E9C" w:rsidP="00884E9C">
            <w:r w:rsidRPr="00B344FC">
              <w:t>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84E9C" w:rsidRPr="00B344FC" w:rsidRDefault="00884E9C" w:rsidP="00795AB4">
            <w:pPr>
              <w:jc w:val="center"/>
            </w:pPr>
            <w:r w:rsidRPr="00B344FC">
              <w:t>8.000</w:t>
            </w:r>
          </w:p>
        </w:tc>
      </w:tr>
      <w:tr w:rsidR="00B2718E"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2718E" w:rsidRPr="0020338E" w:rsidRDefault="00B2718E" w:rsidP="00B2718E">
            <w:r w:rsidRPr="0020338E">
              <w:t>5.5 Translation, interpreters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780BB8">
            <w:pPr>
              <w:jc w:val="center"/>
              <w:rPr>
                <w:b/>
              </w:rPr>
            </w:pPr>
            <w:r w:rsidRPr="0020338E">
              <w:rPr>
                <w:b/>
              </w:rPr>
              <w:t>UNIT COST</w:t>
            </w:r>
            <w:r w:rsidR="00795AB4" w:rsidRPr="0020338E">
              <w:rPr>
                <w:b/>
              </w:rPr>
              <w:t xml:space="preserve"> </w:t>
            </w:r>
            <w:r w:rsidR="00795AB4" w:rsidRPr="0020338E">
              <w:t>(per conference</w:t>
            </w:r>
            <w:r w:rsidR="00780BB8">
              <w:t xml:space="preserve"> organisation</w:t>
            </w:r>
            <w:r w:rsidR="00795AB4"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r w:rsidRPr="0020338E">
              <w:t>2</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r w:rsidRPr="0020338E">
              <w:t>800</w:t>
            </w: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B2718E" w:rsidRPr="0020338E" w:rsidRDefault="00B2718E" w:rsidP="00795AB4">
            <w:pPr>
              <w:jc w:val="center"/>
            </w:pPr>
            <w:r w:rsidRPr="0020338E">
              <w:t>1.600</w:t>
            </w:r>
          </w:p>
        </w:tc>
      </w:tr>
      <w:tr w:rsidR="00B2718E"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2718E" w:rsidRPr="0020338E" w:rsidRDefault="00B2718E" w:rsidP="00B2718E">
            <w:r w:rsidRPr="0020338E">
              <w:t>5.7 Cost of conferences/seminars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rPr>
                <w:b/>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pP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B2718E" w:rsidRPr="0020338E" w:rsidRDefault="00B2718E" w:rsidP="00795AB4">
            <w:pPr>
              <w:jc w:val="center"/>
            </w:pPr>
          </w:p>
        </w:tc>
      </w:tr>
      <w:tr w:rsidR="00B2718E"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2718E" w:rsidRPr="0020338E" w:rsidRDefault="00B2718E" w:rsidP="00B2718E">
            <w:r w:rsidRPr="0020338E">
              <w:t>5.7.1 Room meeting/ rental</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B2718E" w:rsidP="00B2718E">
            <w:pPr>
              <w:jc w:val="center"/>
              <w:rPr>
                <w:b/>
              </w:rPr>
            </w:pPr>
            <w:r w:rsidRPr="0020338E">
              <w:rPr>
                <w:b/>
              </w:rPr>
              <w:t>UNIT COST</w:t>
            </w:r>
            <w:r w:rsidR="00795AB4" w:rsidRPr="0020338E">
              <w:rPr>
                <w:b/>
              </w:rPr>
              <w:t xml:space="preserve"> </w:t>
            </w:r>
            <w:r w:rsidR="00795AB4" w:rsidRPr="0020338E">
              <w:t xml:space="preserve">(per conference </w:t>
            </w:r>
            <w:r w:rsidR="00780BB8">
              <w:t>organisation</w:t>
            </w:r>
            <w:r w:rsidR="00795AB4"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795AB4" w:rsidP="00795AB4">
            <w:pPr>
              <w:jc w:val="center"/>
            </w:pPr>
            <w:r w:rsidRPr="0020338E">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18E" w:rsidRPr="0020338E" w:rsidRDefault="00795AB4" w:rsidP="00B2718E">
            <w:pPr>
              <w:jc w:val="center"/>
            </w:pPr>
            <w:r w:rsidRPr="0020338E">
              <w:t>500</w:t>
            </w: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B2718E" w:rsidRPr="0020338E" w:rsidRDefault="00795AB4" w:rsidP="00795AB4">
            <w:pPr>
              <w:jc w:val="center"/>
            </w:pPr>
            <w:r w:rsidRPr="0020338E">
              <w:t>2.000</w:t>
            </w:r>
          </w:p>
        </w:tc>
      </w:tr>
      <w:tr w:rsidR="00795AB4" w:rsidRPr="00B344FC"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795AB4" w:rsidRPr="0020338E" w:rsidRDefault="00795AB4" w:rsidP="00795AB4">
            <w:r w:rsidRPr="0020338E">
              <w:t>5.7.2 Room meeting/equipment</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5AB4" w:rsidRPr="0020338E" w:rsidRDefault="00795AB4" w:rsidP="00B2718E">
            <w:pPr>
              <w:jc w:val="center"/>
              <w:rPr>
                <w:b/>
              </w:rPr>
            </w:pPr>
            <w:r w:rsidRPr="0020338E">
              <w:rPr>
                <w:b/>
              </w:rPr>
              <w:t xml:space="preserve">UNIT COST </w:t>
            </w:r>
            <w:r w:rsidRPr="0020338E">
              <w:t xml:space="preserve">(per conference </w:t>
            </w:r>
            <w:r w:rsidR="00780BB8">
              <w:t>organisation</w:t>
            </w:r>
            <w:r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5AB4" w:rsidRPr="0020338E" w:rsidRDefault="00795AB4" w:rsidP="00795AB4">
            <w:pPr>
              <w:jc w:val="center"/>
            </w:pPr>
            <w:r w:rsidRPr="0020338E">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5AB4" w:rsidRPr="0020338E" w:rsidRDefault="00795AB4" w:rsidP="00B2718E">
            <w:pPr>
              <w:jc w:val="center"/>
            </w:pPr>
            <w:r w:rsidRPr="0020338E">
              <w:t>375</w:t>
            </w:r>
          </w:p>
        </w:tc>
        <w:tc>
          <w:tcPr>
            <w:tcW w:w="637" w:type="pct"/>
            <w:tcBorders>
              <w:top w:val="single" w:sz="4" w:space="0" w:color="auto"/>
              <w:left w:val="nil"/>
              <w:bottom w:val="single" w:sz="8" w:space="0" w:color="auto"/>
              <w:right w:val="single" w:sz="8" w:space="0" w:color="auto"/>
            </w:tcBorders>
            <w:shd w:val="clear" w:color="auto" w:fill="auto"/>
            <w:noWrap/>
            <w:vAlign w:val="bottom"/>
          </w:tcPr>
          <w:p w:rsidR="00795AB4" w:rsidRPr="0020338E" w:rsidRDefault="00795AB4" w:rsidP="00795AB4">
            <w:pPr>
              <w:jc w:val="center"/>
            </w:pPr>
            <w:r w:rsidRPr="0020338E">
              <w:t>1.500</w:t>
            </w:r>
          </w:p>
        </w:tc>
      </w:tr>
      <w:tr w:rsidR="00B2718E" w:rsidRPr="00B344FC" w:rsidTr="00895E35">
        <w:trPr>
          <w:trHeight w:val="300"/>
        </w:trPr>
        <w:tc>
          <w:tcPr>
            <w:tcW w:w="1436" w:type="pct"/>
            <w:tcBorders>
              <w:top w:val="single" w:sz="4" w:space="0" w:color="auto"/>
              <w:left w:val="single" w:sz="8" w:space="0" w:color="auto"/>
              <w:bottom w:val="single" w:sz="4" w:space="0" w:color="auto"/>
              <w:right w:val="nil"/>
            </w:tcBorders>
            <w:shd w:val="clear" w:color="000000" w:fill="C0C0C0"/>
            <w:vAlign w:val="bottom"/>
            <w:hideMark/>
          </w:tcPr>
          <w:p w:rsidR="00B2718E" w:rsidRPr="00B344FC" w:rsidRDefault="00B2718E" w:rsidP="00B2718E">
            <w:pPr>
              <w:rPr>
                <w:b/>
                <w:i/>
              </w:rPr>
            </w:pPr>
            <w:r w:rsidRPr="00B344FC">
              <w:rPr>
                <w:b/>
                <w:i/>
              </w:rPr>
              <w:t>Subtotal Other costs, services</w:t>
            </w:r>
          </w:p>
        </w:tc>
        <w:tc>
          <w:tcPr>
            <w:tcW w:w="2000" w:type="pct"/>
            <w:tcBorders>
              <w:top w:val="single" w:sz="4" w:space="0" w:color="auto"/>
              <w:left w:val="nil"/>
              <w:bottom w:val="single" w:sz="4" w:space="0" w:color="auto"/>
              <w:right w:val="nil"/>
            </w:tcBorders>
            <w:shd w:val="clear" w:color="000000" w:fill="C0C0C0"/>
            <w:noWrap/>
            <w:vAlign w:val="bottom"/>
            <w:hideMark/>
          </w:tcPr>
          <w:p w:rsidR="00B2718E" w:rsidRPr="00B344FC" w:rsidRDefault="00B2718E" w:rsidP="00B2718E">
            <w:pPr>
              <w:jc w:val="center"/>
              <w:rPr>
                <w:b/>
                <w:i/>
              </w:rPr>
            </w:pPr>
            <w:r w:rsidRPr="00B344FC">
              <w:rPr>
                <w:b/>
                <w:i/>
              </w:rPr>
              <w:t> </w:t>
            </w:r>
          </w:p>
        </w:tc>
        <w:tc>
          <w:tcPr>
            <w:tcW w:w="542" w:type="pct"/>
            <w:tcBorders>
              <w:top w:val="single" w:sz="4" w:space="0" w:color="auto"/>
              <w:left w:val="nil"/>
              <w:bottom w:val="single" w:sz="4" w:space="0" w:color="auto"/>
              <w:right w:val="nil"/>
            </w:tcBorders>
            <w:shd w:val="clear" w:color="000000" w:fill="C0C0C0"/>
            <w:noWrap/>
            <w:vAlign w:val="bottom"/>
            <w:hideMark/>
          </w:tcPr>
          <w:p w:rsidR="00B2718E" w:rsidRPr="00B344FC" w:rsidRDefault="00B2718E" w:rsidP="00B2718E">
            <w:pPr>
              <w:rPr>
                <w:b/>
                <w:i/>
              </w:rPr>
            </w:pPr>
            <w:r w:rsidRPr="00B344FC">
              <w:rPr>
                <w:b/>
                <w:i/>
              </w:rPr>
              <w:t> </w:t>
            </w:r>
          </w:p>
        </w:tc>
        <w:tc>
          <w:tcPr>
            <w:tcW w:w="385" w:type="pct"/>
            <w:tcBorders>
              <w:top w:val="single" w:sz="4" w:space="0" w:color="auto"/>
              <w:left w:val="nil"/>
              <w:bottom w:val="single" w:sz="4" w:space="0" w:color="auto"/>
              <w:right w:val="single" w:sz="4" w:space="0" w:color="auto"/>
            </w:tcBorders>
            <w:shd w:val="clear" w:color="000000" w:fill="C0C0C0"/>
            <w:noWrap/>
            <w:vAlign w:val="bottom"/>
            <w:hideMark/>
          </w:tcPr>
          <w:p w:rsidR="00B2718E" w:rsidRPr="00B344FC" w:rsidRDefault="00B2718E" w:rsidP="00B2718E">
            <w:pPr>
              <w:rPr>
                <w:b/>
                <w:i/>
              </w:rPr>
            </w:pPr>
            <w:r w:rsidRPr="00B344FC">
              <w:rPr>
                <w:b/>
                <w:i/>
              </w:rPr>
              <w:t> </w:t>
            </w:r>
          </w:p>
        </w:tc>
        <w:tc>
          <w:tcPr>
            <w:tcW w:w="637" w:type="pct"/>
            <w:tcBorders>
              <w:top w:val="single" w:sz="4" w:space="0" w:color="auto"/>
              <w:left w:val="nil"/>
              <w:bottom w:val="single" w:sz="4" w:space="0" w:color="auto"/>
              <w:right w:val="single" w:sz="8" w:space="0" w:color="auto"/>
            </w:tcBorders>
            <w:shd w:val="clear" w:color="000000" w:fill="C0C0C0"/>
            <w:noWrap/>
            <w:vAlign w:val="bottom"/>
            <w:hideMark/>
          </w:tcPr>
          <w:p w:rsidR="00B2718E" w:rsidRPr="00B344FC" w:rsidRDefault="00B2718E" w:rsidP="00B2718E">
            <w:pPr>
              <w:jc w:val="right"/>
              <w:rPr>
                <w:b/>
              </w:rPr>
            </w:pPr>
          </w:p>
        </w:tc>
      </w:tr>
      <w:tr w:rsidR="00895E35" w:rsidRPr="00B344FC" w:rsidTr="00BD48AD">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rsidR="00895E35" w:rsidRPr="00B344FC" w:rsidRDefault="00895E35" w:rsidP="00895E35">
            <w:pPr>
              <w:rPr>
                <w:b/>
              </w:rPr>
            </w:pPr>
            <w:r>
              <w:rPr>
                <w:b/>
              </w:rPr>
              <w:t>6</w:t>
            </w:r>
            <w:r w:rsidRPr="00B344FC">
              <w:rPr>
                <w:b/>
              </w:rPr>
              <w:t>.</w:t>
            </w:r>
            <w:r w:rsidRPr="00B344FC">
              <w:rPr>
                <w:b/>
                <w:bCs/>
              </w:rPr>
              <w:t xml:space="preserve"> </w:t>
            </w:r>
            <w:r w:rsidRPr="00B344FC">
              <w:rPr>
                <w:b/>
              </w:rPr>
              <w:t xml:space="preserve">Other </w:t>
            </w:r>
          </w:p>
        </w:tc>
        <w:tc>
          <w:tcPr>
            <w:tcW w:w="2000"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rPr>
                <w:b/>
              </w:rPr>
            </w:pPr>
            <w:r w:rsidRPr="00B344FC">
              <w:rPr>
                <w:b/>
              </w:rPr>
              <w:t> </w:t>
            </w:r>
          </w:p>
        </w:tc>
        <w:tc>
          <w:tcPr>
            <w:tcW w:w="385"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rsidR="00895E35" w:rsidRPr="00B344FC" w:rsidRDefault="00895E35" w:rsidP="00BD48AD">
            <w:pPr>
              <w:jc w:val="center"/>
              <w:rPr>
                <w:b/>
              </w:rPr>
            </w:pPr>
          </w:p>
        </w:tc>
      </w:tr>
      <w:tr w:rsidR="00895E35" w:rsidRPr="00B344FC" w:rsidTr="00B97F44">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rsidR="00895E35" w:rsidRPr="00B344FC" w:rsidRDefault="00B97F44" w:rsidP="00B97F44">
            <w:r>
              <w:t>6</w:t>
            </w:r>
            <w:r w:rsidR="00895E35" w:rsidRPr="00B344FC">
              <w:t xml:space="preserve">.1 </w:t>
            </w:r>
            <w:r>
              <w:t>Other services</w:t>
            </w:r>
          </w:p>
        </w:tc>
        <w:tc>
          <w:tcPr>
            <w:tcW w:w="2000"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rsidR="00895E35" w:rsidRPr="00B344FC" w:rsidRDefault="00895E35" w:rsidP="00BD48AD">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rsidR="00895E35" w:rsidRPr="00B344FC" w:rsidRDefault="00895E35" w:rsidP="00BD48AD">
            <w:pPr>
              <w:jc w:val="center"/>
            </w:pPr>
          </w:p>
        </w:tc>
      </w:tr>
      <w:tr w:rsidR="00B97F44" w:rsidRPr="00B344FC" w:rsidTr="00B97F44">
        <w:trPr>
          <w:trHeight w:val="285"/>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rsidR="00B97F44" w:rsidRDefault="009C211C" w:rsidP="00F95283">
            <w:r>
              <w:t xml:space="preserve">6.1.1 </w:t>
            </w:r>
            <w:r w:rsidR="00AB6945">
              <w:t>Vaccine distribution</w:t>
            </w:r>
            <w:r w:rsidR="00083730">
              <w:t xml:space="preserve"> (Activity X)</w:t>
            </w:r>
          </w:p>
        </w:tc>
        <w:tc>
          <w:tcPr>
            <w:tcW w:w="2000" w:type="pct"/>
            <w:tcBorders>
              <w:top w:val="single" w:sz="4" w:space="0" w:color="auto"/>
              <w:left w:val="nil"/>
              <w:bottom w:val="single" w:sz="4" w:space="0" w:color="auto"/>
              <w:right w:val="single" w:sz="4" w:space="0" w:color="auto"/>
            </w:tcBorders>
            <w:shd w:val="clear" w:color="auto" w:fill="auto"/>
            <w:noWrap/>
            <w:vAlign w:val="bottom"/>
          </w:tcPr>
          <w:p w:rsidR="00B97F44" w:rsidRPr="00C91B5E" w:rsidRDefault="009C211C" w:rsidP="00F95283">
            <w:pPr>
              <w:jc w:val="center"/>
              <w:rPr>
                <w:b/>
              </w:rPr>
            </w:pPr>
            <w:r w:rsidRPr="00C91B5E">
              <w:rPr>
                <w:b/>
              </w:rPr>
              <w:t>UNIT COST</w:t>
            </w:r>
            <w:r w:rsidR="00F95283">
              <w:rPr>
                <w:b/>
              </w:rPr>
              <w:t xml:space="preserve"> </w:t>
            </w:r>
            <w:r w:rsidR="00F95283" w:rsidRPr="00F95283">
              <w:t>(</w:t>
            </w:r>
            <w:r w:rsidR="00C67739">
              <w:t xml:space="preserve">per </w:t>
            </w:r>
            <w:r w:rsidR="00083730">
              <w:t>vaccine</w:t>
            </w:r>
            <w:r w:rsidR="00F95283" w:rsidRPr="00F95283">
              <w:t>)</w:t>
            </w:r>
          </w:p>
        </w:tc>
        <w:tc>
          <w:tcPr>
            <w:tcW w:w="542" w:type="pct"/>
            <w:tcBorders>
              <w:top w:val="single" w:sz="4" w:space="0" w:color="auto"/>
              <w:left w:val="nil"/>
              <w:bottom w:val="single" w:sz="4" w:space="0" w:color="auto"/>
              <w:right w:val="single" w:sz="4" w:space="0" w:color="auto"/>
            </w:tcBorders>
            <w:shd w:val="clear" w:color="auto" w:fill="auto"/>
            <w:noWrap/>
            <w:vAlign w:val="bottom"/>
          </w:tcPr>
          <w:p w:rsidR="00B97F44" w:rsidRPr="00B344FC" w:rsidRDefault="0020338E" w:rsidP="00F95283">
            <w:pPr>
              <w:jc w:val="center"/>
            </w:pPr>
            <w:r>
              <w:t>20.000</w:t>
            </w:r>
          </w:p>
        </w:tc>
        <w:tc>
          <w:tcPr>
            <w:tcW w:w="385" w:type="pct"/>
            <w:tcBorders>
              <w:top w:val="single" w:sz="4" w:space="0" w:color="auto"/>
              <w:left w:val="nil"/>
              <w:bottom w:val="single" w:sz="4" w:space="0" w:color="auto"/>
              <w:right w:val="single" w:sz="4" w:space="0" w:color="auto"/>
            </w:tcBorders>
            <w:shd w:val="clear" w:color="auto" w:fill="auto"/>
            <w:noWrap/>
            <w:vAlign w:val="bottom"/>
          </w:tcPr>
          <w:p w:rsidR="00B97F44" w:rsidRPr="00B344FC" w:rsidRDefault="0020338E" w:rsidP="00F95283">
            <w:pPr>
              <w:jc w:val="center"/>
            </w:pPr>
            <w:r>
              <w:t>40</w:t>
            </w:r>
          </w:p>
        </w:tc>
        <w:tc>
          <w:tcPr>
            <w:tcW w:w="637" w:type="pct"/>
            <w:tcBorders>
              <w:top w:val="single" w:sz="4" w:space="0" w:color="auto"/>
              <w:left w:val="nil"/>
              <w:bottom w:val="single" w:sz="4" w:space="0" w:color="auto"/>
              <w:right w:val="single" w:sz="4" w:space="0" w:color="auto"/>
            </w:tcBorders>
            <w:shd w:val="clear" w:color="auto" w:fill="auto"/>
            <w:noWrap/>
            <w:vAlign w:val="bottom"/>
          </w:tcPr>
          <w:p w:rsidR="00B97F44" w:rsidRPr="00B344FC" w:rsidRDefault="0020338E" w:rsidP="00BD48AD">
            <w:pPr>
              <w:jc w:val="center"/>
            </w:pPr>
            <w:r>
              <w:t>800.000</w:t>
            </w:r>
          </w:p>
        </w:tc>
      </w:tr>
      <w:tr w:rsidR="00F95283" w:rsidRPr="00B344FC" w:rsidTr="000A7CDA">
        <w:trPr>
          <w:trHeight w:val="285"/>
        </w:trPr>
        <w:tc>
          <w:tcPr>
            <w:tcW w:w="4363" w:type="pct"/>
            <w:gridSpan w:val="4"/>
            <w:tcBorders>
              <w:top w:val="single" w:sz="4" w:space="0" w:color="auto"/>
              <w:left w:val="single" w:sz="4" w:space="0" w:color="auto"/>
              <w:bottom w:val="single" w:sz="4" w:space="0" w:color="auto"/>
              <w:right w:val="single" w:sz="4" w:space="0" w:color="auto"/>
            </w:tcBorders>
            <w:shd w:val="clear" w:color="auto" w:fill="A5A5A5"/>
            <w:vAlign w:val="bottom"/>
          </w:tcPr>
          <w:p w:rsidR="00F95283" w:rsidRDefault="00F95283" w:rsidP="00F95283">
            <w:r w:rsidRPr="00F95283">
              <w:rPr>
                <w:b/>
                <w:i/>
              </w:rPr>
              <w:t>Subtotal Other</w:t>
            </w:r>
          </w:p>
        </w:tc>
        <w:tc>
          <w:tcPr>
            <w:tcW w:w="637" w:type="pct"/>
            <w:tcBorders>
              <w:top w:val="single" w:sz="4" w:space="0" w:color="auto"/>
              <w:left w:val="nil"/>
              <w:bottom w:val="single" w:sz="4" w:space="0" w:color="auto"/>
              <w:right w:val="single" w:sz="4" w:space="0" w:color="auto"/>
            </w:tcBorders>
            <w:shd w:val="clear" w:color="auto" w:fill="A5A5A5"/>
            <w:noWrap/>
            <w:vAlign w:val="bottom"/>
          </w:tcPr>
          <w:p w:rsidR="00F95283" w:rsidRDefault="00F95283" w:rsidP="00F95283">
            <w:pPr>
              <w:jc w:val="center"/>
            </w:pPr>
          </w:p>
        </w:tc>
      </w:tr>
    </w:tbl>
    <w:p w:rsidR="00262C0E" w:rsidRPr="00B344FC" w:rsidRDefault="00262C0E" w:rsidP="00DB79A2">
      <w:pPr>
        <w:spacing w:before="120"/>
        <w:jc w:val="both"/>
        <w:rPr>
          <w:i/>
          <w:sz w:val="22"/>
        </w:rPr>
      </w:pPr>
      <w:r w:rsidRPr="00B344FC">
        <w:rPr>
          <w:i/>
          <w:sz w:val="22"/>
        </w:rPr>
        <w:t xml:space="preserve">In </w:t>
      </w:r>
      <w:r w:rsidRPr="00B344FC">
        <w:rPr>
          <w:i/>
          <w:sz w:val="22"/>
          <w:szCs w:val="22"/>
        </w:rPr>
        <w:t>th</w:t>
      </w:r>
      <w:r w:rsidR="00565643" w:rsidRPr="00B344FC">
        <w:rPr>
          <w:i/>
          <w:sz w:val="22"/>
          <w:szCs w:val="22"/>
        </w:rPr>
        <w:t>e above</w:t>
      </w:r>
      <w:r w:rsidR="00565643" w:rsidRPr="00B344FC">
        <w:rPr>
          <w:i/>
          <w:sz w:val="22"/>
        </w:rPr>
        <w:t xml:space="preserve"> </w:t>
      </w:r>
      <w:r w:rsidRPr="00B344FC">
        <w:rPr>
          <w:i/>
          <w:sz w:val="22"/>
        </w:rPr>
        <w:t>example:</w:t>
      </w:r>
    </w:p>
    <w:p w:rsidR="00C91B5E" w:rsidRDefault="00262C0E" w:rsidP="004E0B9C">
      <w:pPr>
        <w:numPr>
          <w:ilvl w:val="0"/>
          <w:numId w:val="18"/>
        </w:numPr>
        <w:spacing w:before="120"/>
        <w:jc w:val="both"/>
        <w:rPr>
          <w:i/>
          <w:sz w:val="22"/>
        </w:rPr>
      </w:pPr>
      <w:r w:rsidRPr="002B0994">
        <w:rPr>
          <w:i/>
          <w:sz w:val="22"/>
        </w:rPr>
        <w:t xml:space="preserve">The </w:t>
      </w:r>
      <w:r w:rsidRPr="002B0994">
        <w:rPr>
          <w:i/>
          <w:sz w:val="22"/>
          <w:szCs w:val="22"/>
        </w:rPr>
        <w:t>cost</w:t>
      </w:r>
      <w:r w:rsidR="004C1FF6" w:rsidRPr="002B0994">
        <w:rPr>
          <w:i/>
          <w:sz w:val="22"/>
          <w:szCs w:val="22"/>
        </w:rPr>
        <w:t>s</w:t>
      </w:r>
      <w:r w:rsidRPr="002B0994">
        <w:rPr>
          <w:i/>
          <w:sz w:val="22"/>
        </w:rPr>
        <w:t xml:space="preserve"> for </w:t>
      </w:r>
      <w:r w:rsidR="007C23EE" w:rsidRPr="004E2EAA">
        <w:rPr>
          <w:i/>
          <w:sz w:val="22"/>
          <w:szCs w:val="22"/>
        </w:rPr>
        <w:t xml:space="preserve">Event </w:t>
      </w:r>
      <w:r w:rsidR="00D85EA1" w:rsidRPr="004E2EAA">
        <w:rPr>
          <w:i/>
          <w:sz w:val="22"/>
          <w:szCs w:val="22"/>
        </w:rPr>
        <w:t>manager</w:t>
      </w:r>
      <w:r w:rsidR="004E2EAA">
        <w:rPr>
          <w:i/>
          <w:sz w:val="22"/>
          <w:szCs w:val="22"/>
        </w:rPr>
        <w:t>s</w:t>
      </w:r>
      <w:r w:rsidR="00D85EA1" w:rsidRPr="004E2EAA">
        <w:rPr>
          <w:i/>
          <w:sz w:val="22"/>
          <w:szCs w:val="22"/>
        </w:rPr>
        <w:t xml:space="preserve"> </w:t>
      </w:r>
      <w:r w:rsidR="00A61E0B">
        <w:rPr>
          <w:i/>
          <w:sz w:val="22"/>
          <w:szCs w:val="22"/>
        </w:rPr>
        <w:t>(</w:t>
      </w:r>
      <w:r w:rsidR="00895E35">
        <w:rPr>
          <w:i/>
          <w:sz w:val="22"/>
          <w:szCs w:val="22"/>
        </w:rPr>
        <w:t>sub</w:t>
      </w:r>
      <w:r w:rsidR="00A61E0B">
        <w:rPr>
          <w:i/>
          <w:sz w:val="22"/>
          <w:szCs w:val="22"/>
        </w:rPr>
        <w:t>heading 1.1.1.1</w:t>
      </w:r>
      <w:r w:rsidR="004E0B9C">
        <w:rPr>
          <w:i/>
          <w:sz w:val="22"/>
          <w:szCs w:val="22"/>
        </w:rPr>
        <w:t xml:space="preserve">) and </w:t>
      </w:r>
      <w:r w:rsidR="00A61E0B">
        <w:rPr>
          <w:i/>
          <w:sz w:val="22"/>
          <w:szCs w:val="22"/>
        </w:rPr>
        <w:t>interpreters (</w:t>
      </w:r>
      <w:r w:rsidR="009C211C">
        <w:rPr>
          <w:i/>
          <w:sz w:val="22"/>
          <w:szCs w:val="22"/>
        </w:rPr>
        <w:t>sub</w:t>
      </w:r>
      <w:r w:rsidR="00A61E0B">
        <w:rPr>
          <w:i/>
          <w:sz w:val="22"/>
          <w:szCs w:val="22"/>
        </w:rPr>
        <w:t>heading 5.5</w:t>
      </w:r>
      <w:r w:rsidR="004E0B9C">
        <w:rPr>
          <w:i/>
          <w:sz w:val="22"/>
          <w:szCs w:val="22"/>
        </w:rPr>
        <w:t xml:space="preserve">) </w:t>
      </w:r>
      <w:r w:rsidR="007C23EE" w:rsidRPr="004E2EAA">
        <w:rPr>
          <w:i/>
          <w:sz w:val="22"/>
          <w:szCs w:val="22"/>
        </w:rPr>
        <w:t xml:space="preserve">exclusively working </w:t>
      </w:r>
      <w:r w:rsidR="004E0B9C">
        <w:rPr>
          <w:i/>
          <w:sz w:val="22"/>
          <w:szCs w:val="22"/>
        </w:rPr>
        <w:t xml:space="preserve">for </w:t>
      </w:r>
      <w:r w:rsidR="007C23EE" w:rsidRPr="004E2EAA">
        <w:rPr>
          <w:i/>
          <w:sz w:val="22"/>
          <w:szCs w:val="22"/>
        </w:rPr>
        <w:t>the final conference</w:t>
      </w:r>
      <w:r w:rsidR="00AB6945">
        <w:rPr>
          <w:i/>
          <w:sz w:val="22"/>
          <w:szCs w:val="22"/>
        </w:rPr>
        <w:t xml:space="preserve"> (example of activity)</w:t>
      </w:r>
      <w:r w:rsidR="007C23EE" w:rsidRPr="004E2EAA">
        <w:rPr>
          <w:i/>
          <w:sz w:val="22"/>
          <w:szCs w:val="22"/>
        </w:rPr>
        <w:t xml:space="preserve">, </w:t>
      </w:r>
      <w:r w:rsidR="00D85EA1" w:rsidRPr="004E2EAA">
        <w:rPr>
          <w:i/>
          <w:sz w:val="22"/>
          <w:szCs w:val="22"/>
        </w:rPr>
        <w:t>will be reimbursed</w:t>
      </w:r>
      <w:r w:rsidR="00D85EA1" w:rsidRPr="002B0994">
        <w:rPr>
          <w:i/>
          <w:sz w:val="22"/>
        </w:rPr>
        <w:t xml:space="preserve"> only on the basis of the results achieved</w:t>
      </w:r>
      <w:r w:rsidR="00D85EA1">
        <w:rPr>
          <w:i/>
          <w:sz w:val="22"/>
        </w:rPr>
        <w:t xml:space="preserve"> (</w:t>
      </w:r>
      <w:r w:rsidR="007C23EE">
        <w:rPr>
          <w:i/>
          <w:sz w:val="22"/>
        </w:rPr>
        <w:t>final conference</w:t>
      </w:r>
      <w:r w:rsidR="00D85EA1">
        <w:rPr>
          <w:i/>
          <w:sz w:val="22"/>
        </w:rPr>
        <w:t xml:space="preserve"> organisation)</w:t>
      </w:r>
      <w:r w:rsidR="00D85EA1" w:rsidRPr="002B0994">
        <w:rPr>
          <w:i/>
          <w:sz w:val="22"/>
        </w:rPr>
        <w:t xml:space="preserve"> and defined by the Action</w:t>
      </w:r>
      <w:r w:rsidR="00331403">
        <w:rPr>
          <w:i/>
          <w:sz w:val="22"/>
        </w:rPr>
        <w:t xml:space="preserve">. </w:t>
      </w:r>
      <w:r w:rsidR="00DC6B2B">
        <w:rPr>
          <w:i/>
          <w:sz w:val="22"/>
        </w:rPr>
        <w:t xml:space="preserve">The same applies for costs related to the rental and equipment of room meeting dedicated to the </w:t>
      </w:r>
      <w:r w:rsidR="00AB6945">
        <w:rPr>
          <w:i/>
          <w:sz w:val="22"/>
        </w:rPr>
        <w:t xml:space="preserve">final </w:t>
      </w:r>
      <w:r w:rsidR="00DC6B2B">
        <w:rPr>
          <w:i/>
          <w:sz w:val="22"/>
        </w:rPr>
        <w:t>conference (</w:t>
      </w:r>
      <w:r w:rsidR="009C211C">
        <w:rPr>
          <w:i/>
          <w:sz w:val="22"/>
        </w:rPr>
        <w:t>sub</w:t>
      </w:r>
      <w:r w:rsidR="00DC6B2B">
        <w:rPr>
          <w:i/>
          <w:sz w:val="22"/>
        </w:rPr>
        <w:t xml:space="preserve">heading </w:t>
      </w:r>
      <w:r w:rsidR="00895E35">
        <w:rPr>
          <w:i/>
          <w:sz w:val="22"/>
        </w:rPr>
        <w:t>5.7</w:t>
      </w:r>
      <w:r w:rsidR="00DC6B2B">
        <w:rPr>
          <w:i/>
          <w:sz w:val="22"/>
        </w:rPr>
        <w:t xml:space="preserve">.1 and </w:t>
      </w:r>
      <w:r w:rsidR="00895E35">
        <w:rPr>
          <w:i/>
          <w:sz w:val="22"/>
        </w:rPr>
        <w:t>5.7</w:t>
      </w:r>
      <w:r w:rsidR="00DC6B2B">
        <w:rPr>
          <w:i/>
          <w:sz w:val="22"/>
        </w:rPr>
        <w:t>.2).</w:t>
      </w:r>
      <w:r w:rsidR="00F95283">
        <w:rPr>
          <w:i/>
          <w:sz w:val="22"/>
        </w:rPr>
        <w:t xml:space="preserve"> Once the result is achieved</w:t>
      </w:r>
      <w:r w:rsidR="002B2D63">
        <w:rPr>
          <w:i/>
          <w:sz w:val="22"/>
        </w:rPr>
        <w:t xml:space="preserve">, </w:t>
      </w:r>
      <w:r w:rsidR="00F95283">
        <w:rPr>
          <w:i/>
          <w:sz w:val="22"/>
        </w:rPr>
        <w:t>the reimbursement is possible.</w:t>
      </w:r>
      <w:r w:rsidR="00DC6B2B">
        <w:rPr>
          <w:i/>
          <w:sz w:val="22"/>
        </w:rPr>
        <w:t xml:space="preserve"> </w:t>
      </w:r>
    </w:p>
    <w:p w:rsidR="00C91B5E" w:rsidRDefault="00C91B5E" w:rsidP="00C91B5E">
      <w:pPr>
        <w:spacing w:before="120"/>
        <w:ind w:left="720"/>
        <w:jc w:val="both"/>
        <w:rPr>
          <w:i/>
          <w:sz w:val="22"/>
        </w:rPr>
      </w:pPr>
      <w:r>
        <w:rPr>
          <w:i/>
          <w:sz w:val="22"/>
        </w:rPr>
        <w:t xml:space="preserve">The costs for the </w:t>
      </w:r>
      <w:r w:rsidR="00AB6945">
        <w:rPr>
          <w:i/>
          <w:sz w:val="22"/>
        </w:rPr>
        <w:t xml:space="preserve">vaccine distribution </w:t>
      </w:r>
      <w:r>
        <w:rPr>
          <w:i/>
          <w:sz w:val="22"/>
        </w:rPr>
        <w:t>(subheading 6.1.1)</w:t>
      </w:r>
      <w:r w:rsidR="00D40981">
        <w:rPr>
          <w:i/>
          <w:sz w:val="22"/>
        </w:rPr>
        <w:t xml:space="preserve"> will include for</w:t>
      </w:r>
      <w:r w:rsidR="00A71F82">
        <w:rPr>
          <w:i/>
          <w:sz w:val="22"/>
        </w:rPr>
        <w:t xml:space="preserve"> example: the</w:t>
      </w:r>
      <w:r w:rsidR="00D40981">
        <w:rPr>
          <w:i/>
          <w:sz w:val="22"/>
        </w:rPr>
        <w:t xml:space="preserve"> </w:t>
      </w:r>
      <w:r w:rsidR="00A74A11">
        <w:rPr>
          <w:i/>
          <w:sz w:val="22"/>
        </w:rPr>
        <w:t xml:space="preserve">purchase, </w:t>
      </w:r>
      <w:r w:rsidR="00A71F82">
        <w:rPr>
          <w:i/>
          <w:sz w:val="22"/>
        </w:rPr>
        <w:t xml:space="preserve">the </w:t>
      </w:r>
      <w:r w:rsidR="00A74A11">
        <w:rPr>
          <w:i/>
          <w:sz w:val="22"/>
        </w:rPr>
        <w:t>logistics</w:t>
      </w:r>
      <w:r w:rsidR="00F95283">
        <w:rPr>
          <w:i/>
          <w:sz w:val="22"/>
        </w:rPr>
        <w:t>, management</w:t>
      </w:r>
      <w:r w:rsidR="00A74A11">
        <w:rPr>
          <w:i/>
          <w:sz w:val="22"/>
        </w:rPr>
        <w:t xml:space="preserve"> </w:t>
      </w:r>
      <w:r w:rsidR="00A71F82">
        <w:rPr>
          <w:i/>
          <w:sz w:val="22"/>
        </w:rPr>
        <w:t>and delivery</w:t>
      </w:r>
      <w:r w:rsidR="00A74A11">
        <w:rPr>
          <w:i/>
          <w:sz w:val="22"/>
        </w:rPr>
        <w:t>,</w:t>
      </w:r>
      <w:r w:rsidR="00A71F82">
        <w:rPr>
          <w:i/>
          <w:sz w:val="22"/>
        </w:rPr>
        <w:t xml:space="preserve"> the storage,</w:t>
      </w:r>
      <w:r w:rsidR="008B4CE5">
        <w:rPr>
          <w:i/>
          <w:sz w:val="22"/>
        </w:rPr>
        <w:t xml:space="preserve"> the</w:t>
      </w:r>
      <w:r w:rsidR="00A71F82">
        <w:rPr>
          <w:i/>
          <w:sz w:val="22"/>
        </w:rPr>
        <w:t xml:space="preserve"> medical staff </w:t>
      </w:r>
      <w:r w:rsidR="008B4CE5">
        <w:rPr>
          <w:i/>
          <w:sz w:val="22"/>
        </w:rPr>
        <w:t xml:space="preserve">administering </w:t>
      </w:r>
      <w:r w:rsidR="00A71F82">
        <w:rPr>
          <w:i/>
          <w:sz w:val="22"/>
        </w:rPr>
        <w:t>vaccination</w:t>
      </w:r>
      <w:r w:rsidR="0020338E">
        <w:rPr>
          <w:i/>
          <w:sz w:val="22"/>
        </w:rPr>
        <w:t xml:space="preserve">, </w:t>
      </w:r>
      <w:r w:rsidR="00083730">
        <w:rPr>
          <w:i/>
          <w:sz w:val="22"/>
        </w:rPr>
        <w:t xml:space="preserve">and </w:t>
      </w:r>
      <w:r w:rsidR="008B4CE5">
        <w:rPr>
          <w:i/>
          <w:sz w:val="22"/>
        </w:rPr>
        <w:t>related costs, etc. Once the output</w:t>
      </w:r>
      <w:r w:rsidR="0020338E">
        <w:rPr>
          <w:i/>
          <w:sz w:val="22"/>
        </w:rPr>
        <w:t>, previously described in the Action,</w:t>
      </w:r>
      <w:r w:rsidR="008B4CE5">
        <w:rPr>
          <w:i/>
          <w:sz w:val="22"/>
        </w:rPr>
        <w:t xml:space="preserve"> related to </w:t>
      </w:r>
      <w:r w:rsidR="0020338E">
        <w:rPr>
          <w:i/>
          <w:sz w:val="22"/>
        </w:rPr>
        <w:t xml:space="preserve">the </w:t>
      </w:r>
      <w:r w:rsidR="008B4CE5">
        <w:rPr>
          <w:i/>
          <w:sz w:val="22"/>
        </w:rPr>
        <w:t xml:space="preserve">activity </w:t>
      </w:r>
      <w:r w:rsidR="0020338E">
        <w:rPr>
          <w:i/>
          <w:sz w:val="22"/>
        </w:rPr>
        <w:t xml:space="preserve">X is achieved, the reimbursement of subheading 6.1.1 is possible. </w:t>
      </w:r>
    </w:p>
    <w:p w:rsidR="00D85EA1" w:rsidRPr="004E0B9C" w:rsidRDefault="00331403" w:rsidP="00C91B5E">
      <w:pPr>
        <w:spacing w:before="120"/>
        <w:ind w:left="720"/>
        <w:jc w:val="both"/>
        <w:rPr>
          <w:i/>
          <w:sz w:val="22"/>
        </w:rPr>
      </w:pPr>
      <w:r w:rsidRPr="002B0994">
        <w:rPr>
          <w:i/>
          <w:sz w:val="22"/>
          <w:szCs w:val="22"/>
        </w:rPr>
        <w:t xml:space="preserve">The beneficiary should determine the amount per unit on the basis of statistical data, expert judgment, beneficiary’s accounting practice etc. In case the evaluation committee rejects the methodology presented, these costs can be reimbursed as actual costs incurred. Additional information should be provided in the justification sheet. </w:t>
      </w:r>
    </w:p>
    <w:p w:rsidR="002420B6" w:rsidRPr="00180447" w:rsidRDefault="00565643" w:rsidP="001B007E">
      <w:pPr>
        <w:numPr>
          <w:ilvl w:val="0"/>
          <w:numId w:val="18"/>
        </w:numPr>
        <w:spacing w:before="120"/>
        <w:jc w:val="both"/>
        <w:rPr>
          <w:i/>
          <w:sz w:val="22"/>
        </w:rPr>
      </w:pPr>
      <w:r w:rsidRPr="00180447">
        <w:rPr>
          <w:i/>
          <w:sz w:val="22"/>
        </w:rPr>
        <w:t>T</w:t>
      </w:r>
      <w:r w:rsidR="00262C0E" w:rsidRPr="00180447">
        <w:rPr>
          <w:i/>
          <w:sz w:val="22"/>
        </w:rPr>
        <w:t>he cost for</w:t>
      </w:r>
      <w:r w:rsidR="001B007E">
        <w:rPr>
          <w:i/>
          <w:sz w:val="22"/>
        </w:rPr>
        <w:t xml:space="preserve"> Travel (heading 2)</w:t>
      </w:r>
      <w:r w:rsidR="00455F76">
        <w:rPr>
          <w:i/>
          <w:sz w:val="22"/>
        </w:rPr>
        <w:t xml:space="preserve"> and</w:t>
      </w:r>
      <w:r w:rsidR="001B007E">
        <w:rPr>
          <w:i/>
          <w:sz w:val="22"/>
        </w:rPr>
        <w:t xml:space="preserve"> studies</w:t>
      </w:r>
      <w:r w:rsidR="00455F76">
        <w:rPr>
          <w:i/>
          <w:sz w:val="22"/>
        </w:rPr>
        <w:t xml:space="preserve">, </w:t>
      </w:r>
      <w:r w:rsidR="001B007E">
        <w:rPr>
          <w:i/>
          <w:sz w:val="22"/>
        </w:rPr>
        <w:t>research (</w:t>
      </w:r>
      <w:r w:rsidR="009C211C">
        <w:rPr>
          <w:i/>
          <w:sz w:val="22"/>
        </w:rPr>
        <w:t>sub</w:t>
      </w:r>
      <w:r w:rsidR="001B007E">
        <w:rPr>
          <w:i/>
          <w:sz w:val="22"/>
        </w:rPr>
        <w:t>heading 5.2)</w:t>
      </w:r>
      <w:r w:rsidR="00331403">
        <w:t xml:space="preserve"> </w:t>
      </w:r>
      <w:r w:rsidR="001B007E" w:rsidRPr="001B007E">
        <w:rPr>
          <w:i/>
          <w:sz w:val="22"/>
        </w:rPr>
        <w:t>if carried out in accordance with the conditions agreed</w:t>
      </w:r>
      <w:r w:rsidR="00757561">
        <w:rPr>
          <w:i/>
          <w:sz w:val="22"/>
        </w:rPr>
        <w:t xml:space="preserve"> in the description of the action and in the justification of the budget (number and details of flights; studies according to the terms of reference)</w:t>
      </w:r>
      <w:r w:rsidR="001B007E" w:rsidRPr="001B007E">
        <w:rPr>
          <w:i/>
          <w:sz w:val="22"/>
        </w:rPr>
        <w:t>, will be reimbursed as</w:t>
      </w:r>
      <w:r w:rsidR="001B007E">
        <w:rPr>
          <w:i/>
          <w:sz w:val="22"/>
        </w:rPr>
        <w:t xml:space="preserve"> lump sum </w:t>
      </w:r>
      <w:r w:rsidR="001B007E" w:rsidRPr="001B007E">
        <w:rPr>
          <w:i/>
          <w:sz w:val="22"/>
        </w:rPr>
        <w:t>once the specific output is achieved</w:t>
      </w:r>
      <w:r w:rsidR="00757561">
        <w:rPr>
          <w:i/>
          <w:sz w:val="22"/>
        </w:rPr>
        <w:t>.</w:t>
      </w:r>
      <w:r w:rsidR="001B007E">
        <w:rPr>
          <w:i/>
          <w:sz w:val="22"/>
        </w:rPr>
        <w:t xml:space="preserve"> </w:t>
      </w:r>
      <w:r w:rsidR="004C1FF6" w:rsidRPr="00180447">
        <w:rPr>
          <w:i/>
          <w:sz w:val="22"/>
          <w:szCs w:val="22"/>
        </w:rPr>
        <w:t xml:space="preserve">Additional </w:t>
      </w:r>
      <w:r w:rsidR="00025B15" w:rsidRPr="00180447">
        <w:rPr>
          <w:i/>
          <w:sz w:val="22"/>
          <w:szCs w:val="22"/>
        </w:rPr>
        <w:t>i</w:t>
      </w:r>
      <w:r w:rsidR="00262C0E" w:rsidRPr="00180447">
        <w:rPr>
          <w:i/>
          <w:sz w:val="22"/>
          <w:szCs w:val="22"/>
        </w:rPr>
        <w:t xml:space="preserve">nformation </w:t>
      </w:r>
      <w:r w:rsidR="00136EEF">
        <w:rPr>
          <w:i/>
          <w:sz w:val="22"/>
          <w:szCs w:val="22"/>
        </w:rPr>
        <w:t xml:space="preserve">on the calculation method </w:t>
      </w:r>
      <w:r w:rsidR="001B007E">
        <w:rPr>
          <w:i/>
          <w:sz w:val="22"/>
          <w:szCs w:val="22"/>
        </w:rPr>
        <w:t>should be</w:t>
      </w:r>
      <w:r w:rsidR="00262C0E" w:rsidRPr="00180447">
        <w:rPr>
          <w:i/>
          <w:sz w:val="22"/>
          <w:szCs w:val="22"/>
        </w:rPr>
        <w:t xml:space="preserve"> </w:t>
      </w:r>
      <w:r w:rsidRPr="00180447">
        <w:rPr>
          <w:i/>
          <w:sz w:val="22"/>
          <w:szCs w:val="22"/>
        </w:rPr>
        <w:t>provided</w:t>
      </w:r>
      <w:r w:rsidRPr="00180447">
        <w:rPr>
          <w:i/>
          <w:sz w:val="22"/>
        </w:rPr>
        <w:t xml:space="preserve"> in </w:t>
      </w:r>
      <w:r w:rsidRPr="00180447">
        <w:rPr>
          <w:i/>
          <w:sz w:val="22"/>
          <w:szCs w:val="22"/>
        </w:rPr>
        <w:t xml:space="preserve">the </w:t>
      </w:r>
      <w:r w:rsidR="001B254D" w:rsidRPr="00180447">
        <w:rPr>
          <w:i/>
          <w:sz w:val="22"/>
          <w:szCs w:val="22"/>
        </w:rPr>
        <w:t>j</w:t>
      </w:r>
      <w:r w:rsidRPr="00180447">
        <w:rPr>
          <w:i/>
          <w:sz w:val="22"/>
          <w:szCs w:val="22"/>
        </w:rPr>
        <w:t xml:space="preserve">ustification </w:t>
      </w:r>
      <w:r w:rsidR="001B254D" w:rsidRPr="00180447">
        <w:rPr>
          <w:i/>
          <w:sz w:val="22"/>
          <w:szCs w:val="22"/>
        </w:rPr>
        <w:t>s</w:t>
      </w:r>
      <w:r w:rsidRPr="00180447">
        <w:rPr>
          <w:i/>
          <w:sz w:val="22"/>
          <w:szCs w:val="22"/>
        </w:rPr>
        <w:t>heet.</w:t>
      </w:r>
      <w:r w:rsidR="00262C0E" w:rsidRPr="00180447">
        <w:rPr>
          <w:i/>
          <w:sz w:val="22"/>
          <w:szCs w:val="22"/>
        </w:rPr>
        <w:t xml:space="preserve"> </w:t>
      </w:r>
    </w:p>
    <w:p w:rsidR="00E9289E" w:rsidRDefault="00E9289E" w:rsidP="00F13AA8">
      <w:pPr>
        <w:spacing w:before="120"/>
        <w:ind w:left="426"/>
        <w:jc w:val="both"/>
        <w:rPr>
          <w:i/>
          <w:sz w:val="22"/>
          <w:szCs w:val="22"/>
        </w:rPr>
      </w:pPr>
    </w:p>
    <w:p w:rsidR="00E66B89" w:rsidRPr="00B344FC" w:rsidRDefault="00E66B89" w:rsidP="00F13AA8">
      <w:pPr>
        <w:spacing w:before="120"/>
        <w:ind w:left="426"/>
        <w:jc w:val="both"/>
        <w:rPr>
          <w:i/>
          <w:sz w:val="22"/>
          <w:szCs w:val="22"/>
        </w:rPr>
      </w:pPr>
    </w:p>
    <w:p w:rsidR="00E9289E" w:rsidRPr="00DB79A2" w:rsidRDefault="00565643" w:rsidP="008308FC">
      <w:pPr>
        <w:pBdr>
          <w:top w:val="single" w:sz="8" w:space="1" w:color="auto"/>
          <w:left w:val="single" w:sz="8" w:space="4" w:color="auto"/>
          <w:bottom w:val="single" w:sz="8" w:space="1" w:color="auto"/>
          <w:right w:val="single" w:sz="8" w:space="4" w:color="auto"/>
        </w:pBdr>
        <w:spacing w:before="60" w:after="60"/>
        <w:jc w:val="both"/>
        <w:rPr>
          <w:sz w:val="22"/>
          <w:szCs w:val="22"/>
        </w:rPr>
      </w:pPr>
      <w:r w:rsidRPr="00DB79A2">
        <w:rPr>
          <w:sz w:val="22"/>
          <w:szCs w:val="22"/>
        </w:rPr>
        <w:lastRenderedPageBreak/>
        <w:t>Moreover</w:t>
      </w:r>
      <w:r w:rsidR="00E9289E" w:rsidRPr="00DB79A2">
        <w:rPr>
          <w:sz w:val="22"/>
          <w:szCs w:val="22"/>
        </w:rPr>
        <w:t xml:space="preserve">, </w:t>
      </w:r>
      <w:r w:rsidRPr="00DB79A2">
        <w:rPr>
          <w:sz w:val="22"/>
          <w:szCs w:val="22"/>
        </w:rPr>
        <w:t xml:space="preserve">applicants must </w:t>
      </w:r>
      <w:r w:rsidR="00E9289E" w:rsidRPr="00DB79A2">
        <w:rPr>
          <w:sz w:val="22"/>
          <w:szCs w:val="22"/>
        </w:rPr>
        <w:t xml:space="preserve">in the second column of </w:t>
      </w:r>
      <w:r w:rsidR="004C1FF6" w:rsidRPr="00DB79A2">
        <w:rPr>
          <w:sz w:val="22"/>
          <w:szCs w:val="22"/>
        </w:rPr>
        <w:t xml:space="preserve">the </w:t>
      </w:r>
      <w:r w:rsidR="001B254D">
        <w:rPr>
          <w:sz w:val="22"/>
          <w:szCs w:val="22"/>
        </w:rPr>
        <w:t>j</w:t>
      </w:r>
      <w:r w:rsidRPr="00DB79A2">
        <w:rPr>
          <w:sz w:val="22"/>
          <w:szCs w:val="22"/>
        </w:rPr>
        <w:t>ustifi</w:t>
      </w:r>
      <w:r w:rsidR="008513F9" w:rsidRPr="00DB79A2">
        <w:rPr>
          <w:sz w:val="22"/>
          <w:szCs w:val="22"/>
        </w:rPr>
        <w:t>cat</w:t>
      </w:r>
      <w:r w:rsidRPr="00DB79A2">
        <w:rPr>
          <w:sz w:val="22"/>
          <w:szCs w:val="22"/>
        </w:rPr>
        <w:t xml:space="preserve">ion </w:t>
      </w:r>
      <w:r w:rsidR="001B254D">
        <w:rPr>
          <w:sz w:val="22"/>
          <w:szCs w:val="22"/>
        </w:rPr>
        <w:t>s</w:t>
      </w:r>
      <w:r w:rsidRPr="00DB79A2">
        <w:rPr>
          <w:sz w:val="22"/>
          <w:szCs w:val="22"/>
        </w:rPr>
        <w:t xml:space="preserve">heet </w:t>
      </w:r>
      <w:r w:rsidR="008513F9" w:rsidRPr="00DB79A2">
        <w:rPr>
          <w:sz w:val="22"/>
          <w:szCs w:val="22"/>
        </w:rPr>
        <w:t xml:space="preserve">and for </w:t>
      </w:r>
      <w:r w:rsidR="00E9289E" w:rsidRPr="00DB79A2">
        <w:rPr>
          <w:sz w:val="22"/>
          <w:szCs w:val="22"/>
        </w:rPr>
        <w:t>each corresponding budget item or heading:</w:t>
      </w:r>
    </w:p>
    <w:p w:rsidR="00E9289E" w:rsidRPr="00DB79A2"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sidRPr="00DB79A2">
        <w:rPr>
          <w:sz w:val="22"/>
          <w:szCs w:val="22"/>
        </w:rPr>
        <w:t>-</w:t>
      </w:r>
      <w:r w:rsidR="008513F9" w:rsidRPr="00DB79A2">
        <w:rPr>
          <w:sz w:val="22"/>
          <w:szCs w:val="22"/>
        </w:rPr>
        <w:tab/>
      </w:r>
      <w:r w:rsidRPr="00DB79A2">
        <w:rPr>
          <w:sz w:val="22"/>
          <w:szCs w:val="22"/>
        </w:rPr>
        <w:t xml:space="preserve">describe the information and methods used to establish the amounts of unit costs </w:t>
      </w:r>
      <w:r w:rsidR="00422DE1">
        <w:rPr>
          <w:sz w:val="22"/>
          <w:szCs w:val="22"/>
        </w:rPr>
        <w:t xml:space="preserve">or </w:t>
      </w:r>
      <w:r w:rsidRPr="00DB79A2">
        <w:rPr>
          <w:sz w:val="22"/>
          <w:szCs w:val="22"/>
        </w:rPr>
        <w:t xml:space="preserve">lump sums </w:t>
      </w:r>
      <w:r w:rsidR="008513F9" w:rsidRPr="00DB79A2">
        <w:rPr>
          <w:sz w:val="22"/>
          <w:szCs w:val="22"/>
        </w:rPr>
        <w:t xml:space="preserve">for the </w:t>
      </w:r>
      <w:r w:rsidRPr="00DB79A2">
        <w:rPr>
          <w:sz w:val="22"/>
          <w:szCs w:val="22"/>
        </w:rPr>
        <w:t xml:space="preserve">costs </w:t>
      </w:r>
      <w:r w:rsidR="008513F9" w:rsidRPr="00DB79A2">
        <w:rPr>
          <w:sz w:val="22"/>
          <w:szCs w:val="22"/>
        </w:rPr>
        <w:t xml:space="preserve">to which these </w:t>
      </w:r>
      <w:r w:rsidRPr="00DB79A2">
        <w:rPr>
          <w:sz w:val="22"/>
          <w:szCs w:val="22"/>
        </w:rPr>
        <w:t>refer,</w:t>
      </w:r>
      <w:r w:rsidR="00B33DB6">
        <w:rPr>
          <w:sz w:val="22"/>
          <w:szCs w:val="22"/>
        </w:rPr>
        <w:t xml:space="preserve"> for output or result based SCO</w:t>
      </w:r>
      <w:r w:rsidR="00DE7608">
        <w:rPr>
          <w:sz w:val="22"/>
          <w:szCs w:val="22"/>
        </w:rPr>
        <w:t>s</w:t>
      </w:r>
      <w:r w:rsidR="00817E41">
        <w:rPr>
          <w:sz w:val="22"/>
          <w:szCs w:val="22"/>
        </w:rPr>
        <w:t>.</w:t>
      </w:r>
      <w:r w:rsidRPr="00DB79A2">
        <w:rPr>
          <w:sz w:val="22"/>
          <w:szCs w:val="22"/>
        </w:rPr>
        <w:t xml:space="preserve"> </w:t>
      </w:r>
    </w:p>
    <w:p w:rsidR="00ED6DAE"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sidRPr="00DB79A2">
        <w:rPr>
          <w:sz w:val="22"/>
          <w:szCs w:val="22"/>
        </w:rPr>
        <w:t>-</w:t>
      </w:r>
      <w:r w:rsidR="008513F9" w:rsidRPr="00DB79A2">
        <w:rPr>
          <w:sz w:val="22"/>
          <w:szCs w:val="22"/>
        </w:rPr>
        <w:tab/>
      </w:r>
      <w:r w:rsidRPr="00DB79A2">
        <w:rPr>
          <w:sz w:val="22"/>
          <w:szCs w:val="22"/>
        </w:rPr>
        <w:t>explain the formulas for calculation of the final eligible amount</w:t>
      </w:r>
      <w:r w:rsidR="00B33DB6">
        <w:rPr>
          <w:rStyle w:val="FootnoteReference"/>
          <w:sz w:val="22"/>
          <w:szCs w:val="22"/>
          <w:vertAlign w:val="baseline"/>
        </w:rPr>
        <w:t>.</w:t>
      </w:r>
      <w:r w:rsidRPr="00DB79A2">
        <w:rPr>
          <w:rStyle w:val="FootnoteReference"/>
          <w:szCs w:val="22"/>
        </w:rPr>
        <w:footnoteReference w:id="4"/>
      </w:r>
    </w:p>
    <w:p w:rsidR="00ED6DAE" w:rsidRDefault="00ED6DAE" w:rsidP="008308FC">
      <w:pPr>
        <w:pBdr>
          <w:top w:val="single" w:sz="8" w:space="1" w:color="auto"/>
          <w:left w:val="single" w:sz="8" w:space="4" w:color="auto"/>
          <w:bottom w:val="single" w:sz="8" w:space="1" w:color="auto"/>
          <w:right w:val="single" w:sz="8" w:space="4" w:color="auto"/>
        </w:pBdr>
        <w:spacing w:before="60" w:after="120"/>
        <w:jc w:val="both"/>
        <w:rPr>
          <w:sz w:val="22"/>
          <w:szCs w:val="22"/>
        </w:rPr>
      </w:pPr>
      <w:r w:rsidRPr="00DB79A2">
        <w:rPr>
          <w:sz w:val="22"/>
          <w:szCs w:val="22"/>
        </w:rPr>
        <w:t>-</w:t>
      </w:r>
      <w:r w:rsidR="002B2D63">
        <w:rPr>
          <w:sz w:val="22"/>
          <w:szCs w:val="22"/>
        </w:rPr>
        <w:t xml:space="preserve">   </w:t>
      </w:r>
      <w:r w:rsidR="004C1923">
        <w:rPr>
          <w:sz w:val="22"/>
          <w:szCs w:val="22"/>
        </w:rPr>
        <w:t>in case of</w:t>
      </w:r>
      <w:r w:rsidR="000559EE">
        <w:rPr>
          <w:sz w:val="22"/>
          <w:szCs w:val="22"/>
        </w:rPr>
        <w:t xml:space="preserve"> other SCO</w:t>
      </w:r>
      <w:r w:rsidR="00DE7608">
        <w:rPr>
          <w:sz w:val="22"/>
          <w:szCs w:val="22"/>
        </w:rPr>
        <w:t>s</w:t>
      </w:r>
      <w:r w:rsidR="004C1923">
        <w:rPr>
          <w:sz w:val="22"/>
          <w:szCs w:val="22"/>
        </w:rPr>
        <w:t xml:space="preserve"> </w:t>
      </w:r>
      <w:r w:rsidR="00BF6F63">
        <w:rPr>
          <w:sz w:val="22"/>
          <w:szCs w:val="22"/>
        </w:rPr>
        <w:t xml:space="preserve">the reference to the </w:t>
      </w:r>
      <w:r w:rsidR="00AE57C7" w:rsidRPr="00AE57C7">
        <w:rPr>
          <w:sz w:val="22"/>
          <w:szCs w:val="22"/>
        </w:rPr>
        <w:t>comparable funding schemes of national authorities</w:t>
      </w:r>
      <w:r w:rsidR="00BF6F63">
        <w:rPr>
          <w:sz w:val="22"/>
          <w:szCs w:val="22"/>
        </w:rPr>
        <w:t xml:space="preserve"> shall be mentioned.</w:t>
      </w:r>
      <w:r w:rsidR="004C1923">
        <w:rPr>
          <w:sz w:val="22"/>
          <w:szCs w:val="22"/>
        </w:rPr>
        <w:t xml:space="preserve"> </w:t>
      </w:r>
    </w:p>
    <w:p w:rsidR="00BF6F63" w:rsidRDefault="00BF6F63" w:rsidP="004D77F5">
      <w:pPr>
        <w:pBdr>
          <w:top w:val="single" w:sz="8" w:space="1" w:color="auto"/>
          <w:left w:val="single" w:sz="8" w:space="4" w:color="auto"/>
          <w:bottom w:val="single" w:sz="8" w:space="1" w:color="auto"/>
          <w:right w:val="single" w:sz="8" w:space="4" w:color="auto"/>
        </w:pBdr>
        <w:spacing w:before="60" w:after="60"/>
        <w:ind w:left="284" w:hanging="284"/>
        <w:rPr>
          <w:sz w:val="22"/>
          <w:szCs w:val="22"/>
        </w:rPr>
      </w:pPr>
    </w:p>
    <w:p w:rsidR="004C1923" w:rsidRPr="00DB79A2" w:rsidRDefault="004C1923" w:rsidP="0074131C">
      <w:pPr>
        <w:spacing w:before="120" w:after="120"/>
      </w:pPr>
    </w:p>
    <w:sectPr w:rsidR="004C1923" w:rsidRPr="00DB79A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84" w:rsidRDefault="001F3184">
      <w:r>
        <w:separator/>
      </w:r>
    </w:p>
  </w:endnote>
  <w:endnote w:type="continuationSeparator" w:id="0">
    <w:p w:rsidR="001F3184" w:rsidRDefault="001F3184">
      <w:r>
        <w:continuationSeparator/>
      </w:r>
    </w:p>
  </w:endnote>
  <w:endnote w:type="continuationNotice" w:id="1">
    <w:p w:rsidR="001F3184" w:rsidRDefault="001F3184" w:rsidP="007D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C" w:rsidRDefault="00B344FC" w:rsidP="008179D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4FC" w:rsidRDefault="00B344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FC" w:rsidRPr="00F51FDD" w:rsidRDefault="001604B4" w:rsidP="00A171FB">
    <w:pPr>
      <w:pStyle w:val="Footer"/>
      <w:tabs>
        <w:tab w:val="clear" w:pos="4536"/>
        <w:tab w:val="right" w:pos="9639"/>
      </w:tabs>
      <w:spacing w:before="120"/>
    </w:pPr>
    <w:r>
      <w:rPr>
        <w:b/>
        <w:sz w:val="18"/>
      </w:rPr>
      <w:t>December</w:t>
    </w:r>
    <w:bookmarkStart w:id="0" w:name="_GoBack"/>
    <w:bookmarkEnd w:id="0"/>
    <w:r w:rsidR="00E353F5" w:rsidRPr="00E353F5">
      <w:rPr>
        <w:b/>
        <w:sz w:val="18"/>
      </w:rPr>
      <w:t xml:space="preserve"> 202</w:t>
    </w:r>
    <w:r w:rsidR="008308FC">
      <w:rPr>
        <w:b/>
        <w:sz w:val="18"/>
      </w:rPr>
      <w:t>1</w:t>
    </w:r>
    <w:r w:rsidR="00B344FC" w:rsidRPr="00F51FDD">
      <w:tab/>
      <w:t xml:space="preserve">Page </w:t>
    </w:r>
    <w:r w:rsidR="00B344FC" w:rsidRPr="00F51FDD">
      <w:fldChar w:fldCharType="begin"/>
    </w:r>
    <w:r w:rsidR="00B344FC" w:rsidRPr="00F51FDD">
      <w:instrText xml:space="preserve"> PAGE </w:instrText>
    </w:r>
    <w:r w:rsidR="00B344FC" w:rsidRPr="00F51FDD">
      <w:fldChar w:fldCharType="separate"/>
    </w:r>
    <w:r>
      <w:rPr>
        <w:noProof/>
      </w:rPr>
      <w:t>1</w:t>
    </w:r>
    <w:r w:rsidR="00B344FC" w:rsidRPr="00F51FDD">
      <w:fldChar w:fldCharType="end"/>
    </w:r>
    <w:r w:rsidR="00B344FC" w:rsidRPr="00F51FDD">
      <w:t xml:space="preserve"> of </w:t>
    </w:r>
    <w:r>
      <w:fldChar w:fldCharType="begin"/>
    </w:r>
    <w:r>
      <w:instrText xml:space="preserve"> NUMPAGES </w:instrText>
    </w:r>
    <w:r>
      <w:fldChar w:fldCharType="separate"/>
    </w:r>
    <w:r>
      <w:rPr>
        <w:noProof/>
      </w:rPr>
      <w:t>5</w:t>
    </w:r>
    <w:r>
      <w:rPr>
        <w:noProof/>
      </w:rPr>
      <w:fldChar w:fldCharType="end"/>
    </w:r>
  </w:p>
  <w:p w:rsidR="00B344FC" w:rsidRPr="00DB79A2" w:rsidRDefault="00B344FC" w:rsidP="00DB79A2">
    <w:pPr>
      <w:pStyle w:val="Footer"/>
      <w:tabs>
        <w:tab w:val="clear" w:pos="4536"/>
        <w:tab w:val="right" w:pos="9639"/>
      </w:tabs>
      <w:rPr>
        <w:sz w:val="18"/>
        <w:szCs w:val="18"/>
      </w:rPr>
    </w:pPr>
    <w:r w:rsidRPr="00C9081A">
      <w:rPr>
        <w:rStyle w:val="PageNumber"/>
        <w:sz w:val="18"/>
        <w:szCs w:val="18"/>
      </w:rPr>
      <w:fldChar w:fldCharType="begin"/>
    </w:r>
    <w:r w:rsidRPr="00C9081A">
      <w:rPr>
        <w:rStyle w:val="PageNumber"/>
        <w:sz w:val="18"/>
        <w:szCs w:val="18"/>
      </w:rPr>
      <w:instrText xml:space="preserve"> FILENAME </w:instrText>
    </w:r>
    <w:r w:rsidRPr="00C9081A">
      <w:rPr>
        <w:rStyle w:val="PageNumber"/>
        <w:sz w:val="18"/>
        <w:szCs w:val="18"/>
      </w:rPr>
      <w:fldChar w:fldCharType="separate"/>
    </w:r>
    <w:r w:rsidR="00AB4366">
      <w:rPr>
        <w:rStyle w:val="PageNumber"/>
        <w:noProof/>
        <w:sz w:val="18"/>
        <w:szCs w:val="18"/>
      </w:rPr>
      <w:t>e3a2_simplifiedcostoptions_en</w:t>
    </w:r>
    <w:r w:rsidRPr="00C9081A">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84" w:rsidRDefault="001F3184">
      <w:r>
        <w:separator/>
      </w:r>
    </w:p>
  </w:footnote>
  <w:footnote w:type="continuationSeparator" w:id="0">
    <w:p w:rsidR="001F3184" w:rsidRDefault="001F3184">
      <w:r>
        <w:continuationSeparator/>
      </w:r>
    </w:p>
  </w:footnote>
  <w:footnote w:type="continuationNotice" w:id="1">
    <w:p w:rsidR="001F3184" w:rsidRDefault="001F3184" w:rsidP="007D7560"/>
  </w:footnote>
  <w:footnote w:id="2">
    <w:p w:rsidR="00F26509" w:rsidRPr="00F26509" w:rsidRDefault="00F26509">
      <w:pPr>
        <w:pStyle w:val="FootnoteText"/>
        <w:rPr>
          <w:lang w:val="en-IE"/>
        </w:rPr>
      </w:pPr>
      <w:r>
        <w:rPr>
          <w:rStyle w:val="FootnoteReference"/>
        </w:rPr>
        <w:footnoteRef/>
      </w:r>
      <w:r>
        <w:t xml:space="preserve"> </w:t>
      </w:r>
      <w:r>
        <w:rPr>
          <w:lang w:val="en-IE"/>
        </w:rPr>
        <w:t>In case of open calls, with the submission of the application form</w:t>
      </w:r>
      <w:r w:rsidR="008308FC">
        <w:rPr>
          <w:lang w:val="en-IE"/>
        </w:rPr>
        <w:t xml:space="preserve">. </w:t>
      </w:r>
    </w:p>
  </w:footnote>
  <w:footnote w:id="3">
    <w:p w:rsidR="00B344FC" w:rsidRPr="00E93A31" w:rsidRDefault="00B344FC" w:rsidP="00F61971">
      <w:r w:rsidRPr="00E93A31">
        <w:rPr>
          <w:rStyle w:val="FootnoteReference"/>
        </w:rPr>
        <w:footnoteRef/>
      </w:r>
      <w:r w:rsidRPr="00E93A31">
        <w:t xml:space="preserve"> Use different lines for each type of simplified cost options and per beneficiary.</w:t>
      </w:r>
    </w:p>
  </w:footnote>
  <w:footnote w:id="4">
    <w:p w:rsidR="00B344FC" w:rsidRPr="00E93A31" w:rsidRDefault="00B344FC" w:rsidP="00E93A31">
      <w:pPr>
        <w:spacing w:before="120"/>
        <w:rPr>
          <w:bCs/>
          <w:highlight w:val="yellow"/>
        </w:rPr>
      </w:pPr>
      <w:r w:rsidRPr="00E93A31">
        <w:rPr>
          <w:rStyle w:val="FootnoteReference"/>
        </w:rPr>
        <w:footnoteRef/>
      </w:r>
      <w:r w:rsidR="00E93A31">
        <w:t xml:space="preserve"> </w:t>
      </w:r>
      <w:r w:rsidRPr="00E93A31">
        <w:rPr>
          <w:i/>
        </w:rPr>
        <w:t>Exampl</w:t>
      </w:r>
      <w:r w:rsidR="00F13AA8">
        <w:rPr>
          <w:i/>
        </w:rPr>
        <w:t>e</w:t>
      </w:r>
      <w:r w:rsidR="006A0E00" w:rsidRPr="00E93A31">
        <w:rPr>
          <w:i/>
        </w:rPr>
        <w:t xml:space="preserve">: </w:t>
      </w:r>
      <w:r w:rsidRPr="00E93A31">
        <w:rPr>
          <w:i/>
        </w:rPr>
        <w:br/>
        <w:t>- Specific costs related to the organization of an event: number of participants at the event *  total cost per participant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DEB" w:rsidRDefault="0073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1B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0B5555"/>
    <w:multiLevelType w:val="hybridMultilevel"/>
    <w:tmpl w:val="B178D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17298"/>
    <w:multiLevelType w:val="hybridMultilevel"/>
    <w:tmpl w:val="E0A84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B2933"/>
    <w:multiLevelType w:val="hybridMultilevel"/>
    <w:tmpl w:val="955698AC"/>
    <w:lvl w:ilvl="0" w:tplc="945E4804">
      <w:start w:val="1"/>
      <w:numFmt w:val="lowerLetter"/>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C1BBE"/>
    <w:multiLevelType w:val="hybridMultilevel"/>
    <w:tmpl w:val="11986F14"/>
    <w:lvl w:ilvl="0" w:tplc="51D0ED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36831"/>
    <w:multiLevelType w:val="hybridMultilevel"/>
    <w:tmpl w:val="E2628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32D00"/>
    <w:multiLevelType w:val="hybridMultilevel"/>
    <w:tmpl w:val="2FD2D55A"/>
    <w:lvl w:ilvl="0" w:tplc="94922BC0">
      <w:start w:val="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76265A6"/>
    <w:multiLevelType w:val="hybridMultilevel"/>
    <w:tmpl w:val="3300FFEA"/>
    <w:lvl w:ilvl="0" w:tplc="945E4804">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0F15EA"/>
    <w:multiLevelType w:val="hybridMultilevel"/>
    <w:tmpl w:val="EE60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D5902"/>
    <w:multiLevelType w:val="multilevel"/>
    <w:tmpl w:val="B428FB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A222A"/>
    <w:multiLevelType w:val="hybridMultilevel"/>
    <w:tmpl w:val="B264354E"/>
    <w:lvl w:ilvl="0" w:tplc="94922BC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462D0"/>
    <w:multiLevelType w:val="hybridMultilevel"/>
    <w:tmpl w:val="F7BEC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C5A2A"/>
    <w:multiLevelType w:val="hybridMultilevel"/>
    <w:tmpl w:val="6FB2850A"/>
    <w:lvl w:ilvl="0" w:tplc="94922BC0">
      <w:start w:val="4"/>
      <w:numFmt w:val="bullet"/>
      <w:lvlText w:val="-"/>
      <w:lvlJc w:val="left"/>
      <w:pPr>
        <w:ind w:left="800" w:hanging="360"/>
      </w:pPr>
      <w:rPr>
        <w:rFonts w:ascii="Times New Roman" w:eastAsia="Times New Roman"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3" w15:restartNumberingAfterBreak="0">
    <w:nsid w:val="4BF362A7"/>
    <w:multiLevelType w:val="hybridMultilevel"/>
    <w:tmpl w:val="7CC65F24"/>
    <w:lvl w:ilvl="0" w:tplc="5D54CE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5B764E"/>
    <w:multiLevelType w:val="hybridMultilevel"/>
    <w:tmpl w:val="C1A2DCA8"/>
    <w:lvl w:ilvl="0" w:tplc="94922BC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E4117"/>
    <w:multiLevelType w:val="hybridMultilevel"/>
    <w:tmpl w:val="A6BCF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52D64"/>
    <w:multiLevelType w:val="multilevel"/>
    <w:tmpl w:val="C0260088"/>
    <w:lvl w:ilvl="0">
      <w:start w:val="1"/>
      <w:numFmt w:val="decimal"/>
      <w:pStyle w:val="pprag5"/>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sz w:val="34"/>
        <w:szCs w:val="28"/>
        <w:vertAlign w:val="base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vertAlign w:val="base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u w:val="none"/>
        <w:vertAlign w:val="base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4"/>
        <w:vertAlign w:val="base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7" w15:restartNumberingAfterBreak="0">
    <w:nsid w:val="7716540C"/>
    <w:multiLevelType w:val="hybridMultilevel"/>
    <w:tmpl w:val="85847FD0"/>
    <w:lvl w:ilvl="0" w:tplc="83DC11CE">
      <w:numFmt w:val="bullet"/>
      <w:lvlText w:val="-"/>
      <w:lvlJc w:val="left"/>
      <w:pPr>
        <w:ind w:left="567" w:hanging="360"/>
      </w:pPr>
      <w:rPr>
        <w:rFonts w:ascii="Times New Roman" w:eastAsia="Times New Roman" w:hAnsi="Times New Roman" w:cs="Times New Roman"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8" w15:restartNumberingAfterBreak="0">
    <w:nsid w:val="7B437FF9"/>
    <w:multiLevelType w:val="hybridMultilevel"/>
    <w:tmpl w:val="934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A69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1"/>
  </w:num>
  <w:num w:numId="3">
    <w:abstractNumId w:val="5"/>
  </w:num>
  <w:num w:numId="4">
    <w:abstractNumId w:val="8"/>
  </w:num>
  <w:num w:numId="5">
    <w:abstractNumId w:val="2"/>
  </w:num>
  <w:num w:numId="6">
    <w:abstractNumId w:val="18"/>
  </w:num>
  <w:num w:numId="7">
    <w:abstractNumId w:val="0"/>
  </w:num>
  <w:num w:numId="8">
    <w:abstractNumId w:val="7"/>
  </w:num>
  <w:num w:numId="9">
    <w:abstractNumId w:val="9"/>
  </w:num>
  <w:num w:numId="10">
    <w:abstractNumId w:val="19"/>
  </w:num>
  <w:num w:numId="11">
    <w:abstractNumId w:val="3"/>
  </w:num>
  <w:num w:numId="12">
    <w:abstractNumId w:val="16"/>
  </w:num>
  <w:num w:numId="13">
    <w:abstractNumId w:val="6"/>
  </w:num>
  <w:num w:numId="14">
    <w:abstractNumId w:val="17"/>
  </w:num>
  <w:num w:numId="15">
    <w:abstractNumId w:val="14"/>
  </w:num>
  <w:num w:numId="16">
    <w:abstractNumId w:val="10"/>
  </w:num>
  <w:num w:numId="17">
    <w:abstractNumId w:val="12"/>
  </w:num>
  <w:num w:numId="18">
    <w:abstractNumId w:val="4"/>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F70520"/>
    <w:rsid w:val="00000DFE"/>
    <w:rsid w:val="0000110E"/>
    <w:rsid w:val="00001373"/>
    <w:rsid w:val="00001C2D"/>
    <w:rsid w:val="000027FC"/>
    <w:rsid w:val="0000286C"/>
    <w:rsid w:val="00002BC8"/>
    <w:rsid w:val="00002C98"/>
    <w:rsid w:val="0000301B"/>
    <w:rsid w:val="0000383B"/>
    <w:rsid w:val="0000399D"/>
    <w:rsid w:val="0000404C"/>
    <w:rsid w:val="000042AD"/>
    <w:rsid w:val="00004B90"/>
    <w:rsid w:val="000052BA"/>
    <w:rsid w:val="00006224"/>
    <w:rsid w:val="00006670"/>
    <w:rsid w:val="00006A9F"/>
    <w:rsid w:val="00006CC1"/>
    <w:rsid w:val="000075D4"/>
    <w:rsid w:val="00007DBA"/>
    <w:rsid w:val="00007FAA"/>
    <w:rsid w:val="000100F8"/>
    <w:rsid w:val="00011115"/>
    <w:rsid w:val="000113A3"/>
    <w:rsid w:val="00012EFF"/>
    <w:rsid w:val="00013048"/>
    <w:rsid w:val="000130E1"/>
    <w:rsid w:val="000140E9"/>
    <w:rsid w:val="00014301"/>
    <w:rsid w:val="00015BD2"/>
    <w:rsid w:val="0001613E"/>
    <w:rsid w:val="000166AE"/>
    <w:rsid w:val="00016AEA"/>
    <w:rsid w:val="00016C3C"/>
    <w:rsid w:val="00017094"/>
    <w:rsid w:val="000172B5"/>
    <w:rsid w:val="0001791C"/>
    <w:rsid w:val="000207B3"/>
    <w:rsid w:val="0002084F"/>
    <w:rsid w:val="00020869"/>
    <w:rsid w:val="000213D1"/>
    <w:rsid w:val="00021613"/>
    <w:rsid w:val="00021692"/>
    <w:rsid w:val="000218BF"/>
    <w:rsid w:val="00021AEB"/>
    <w:rsid w:val="00021AFA"/>
    <w:rsid w:val="00021FA3"/>
    <w:rsid w:val="00022CFC"/>
    <w:rsid w:val="00022E00"/>
    <w:rsid w:val="00022E4A"/>
    <w:rsid w:val="000235F1"/>
    <w:rsid w:val="00023D8E"/>
    <w:rsid w:val="000247BF"/>
    <w:rsid w:val="00025066"/>
    <w:rsid w:val="00025B15"/>
    <w:rsid w:val="00025EE1"/>
    <w:rsid w:val="000264C7"/>
    <w:rsid w:val="00026BA7"/>
    <w:rsid w:val="00026E51"/>
    <w:rsid w:val="00027008"/>
    <w:rsid w:val="000270FA"/>
    <w:rsid w:val="00027619"/>
    <w:rsid w:val="0002798D"/>
    <w:rsid w:val="00027EDD"/>
    <w:rsid w:val="00030094"/>
    <w:rsid w:val="000306BA"/>
    <w:rsid w:val="00031A7B"/>
    <w:rsid w:val="00031AD4"/>
    <w:rsid w:val="00032167"/>
    <w:rsid w:val="000322A6"/>
    <w:rsid w:val="00033322"/>
    <w:rsid w:val="0003347F"/>
    <w:rsid w:val="00033C93"/>
    <w:rsid w:val="00034134"/>
    <w:rsid w:val="00034BAB"/>
    <w:rsid w:val="00034E91"/>
    <w:rsid w:val="0003581F"/>
    <w:rsid w:val="00036811"/>
    <w:rsid w:val="00036E74"/>
    <w:rsid w:val="00037B06"/>
    <w:rsid w:val="00040B07"/>
    <w:rsid w:val="00041210"/>
    <w:rsid w:val="00041403"/>
    <w:rsid w:val="00041FF2"/>
    <w:rsid w:val="00042094"/>
    <w:rsid w:val="000423DF"/>
    <w:rsid w:val="0004246B"/>
    <w:rsid w:val="000429C5"/>
    <w:rsid w:val="00042AE0"/>
    <w:rsid w:val="00042B2F"/>
    <w:rsid w:val="00042FF4"/>
    <w:rsid w:val="0004357D"/>
    <w:rsid w:val="00044778"/>
    <w:rsid w:val="00044906"/>
    <w:rsid w:val="00044952"/>
    <w:rsid w:val="00044D80"/>
    <w:rsid w:val="00044EE1"/>
    <w:rsid w:val="0004535A"/>
    <w:rsid w:val="000455C8"/>
    <w:rsid w:val="00045956"/>
    <w:rsid w:val="00045CBB"/>
    <w:rsid w:val="00046430"/>
    <w:rsid w:val="00046824"/>
    <w:rsid w:val="00046916"/>
    <w:rsid w:val="0004697D"/>
    <w:rsid w:val="00051088"/>
    <w:rsid w:val="00051ABC"/>
    <w:rsid w:val="00052C0C"/>
    <w:rsid w:val="00052C58"/>
    <w:rsid w:val="00052E0C"/>
    <w:rsid w:val="00052EC7"/>
    <w:rsid w:val="000530D6"/>
    <w:rsid w:val="00053102"/>
    <w:rsid w:val="00053CEF"/>
    <w:rsid w:val="00053E4E"/>
    <w:rsid w:val="00054A2B"/>
    <w:rsid w:val="000559EE"/>
    <w:rsid w:val="00055D53"/>
    <w:rsid w:val="0005600F"/>
    <w:rsid w:val="00056047"/>
    <w:rsid w:val="00056E27"/>
    <w:rsid w:val="0005761F"/>
    <w:rsid w:val="000610BF"/>
    <w:rsid w:val="00061A65"/>
    <w:rsid w:val="00061ABB"/>
    <w:rsid w:val="000629DE"/>
    <w:rsid w:val="00062E28"/>
    <w:rsid w:val="0006363C"/>
    <w:rsid w:val="00063E93"/>
    <w:rsid w:val="00063F6B"/>
    <w:rsid w:val="0006461F"/>
    <w:rsid w:val="000647C4"/>
    <w:rsid w:val="00064B47"/>
    <w:rsid w:val="00064C64"/>
    <w:rsid w:val="00065037"/>
    <w:rsid w:val="000669FE"/>
    <w:rsid w:val="00066ACE"/>
    <w:rsid w:val="00066BA0"/>
    <w:rsid w:val="0006715B"/>
    <w:rsid w:val="0006782B"/>
    <w:rsid w:val="00067BA7"/>
    <w:rsid w:val="00067D88"/>
    <w:rsid w:val="00067FB5"/>
    <w:rsid w:val="0007009A"/>
    <w:rsid w:val="00071063"/>
    <w:rsid w:val="0007128F"/>
    <w:rsid w:val="0007131C"/>
    <w:rsid w:val="00071841"/>
    <w:rsid w:val="00071DBC"/>
    <w:rsid w:val="00071E8E"/>
    <w:rsid w:val="000725FB"/>
    <w:rsid w:val="00072878"/>
    <w:rsid w:val="00072A8B"/>
    <w:rsid w:val="00074071"/>
    <w:rsid w:val="00074873"/>
    <w:rsid w:val="00074B06"/>
    <w:rsid w:val="00075987"/>
    <w:rsid w:val="00075DCB"/>
    <w:rsid w:val="00075E12"/>
    <w:rsid w:val="0007645A"/>
    <w:rsid w:val="00076564"/>
    <w:rsid w:val="000767E8"/>
    <w:rsid w:val="00077114"/>
    <w:rsid w:val="000775B4"/>
    <w:rsid w:val="00077673"/>
    <w:rsid w:val="000777E9"/>
    <w:rsid w:val="00077EE5"/>
    <w:rsid w:val="0008115F"/>
    <w:rsid w:val="00081637"/>
    <w:rsid w:val="00081B5B"/>
    <w:rsid w:val="00081E35"/>
    <w:rsid w:val="00082957"/>
    <w:rsid w:val="00082F02"/>
    <w:rsid w:val="00083670"/>
    <w:rsid w:val="00083730"/>
    <w:rsid w:val="000839F8"/>
    <w:rsid w:val="0008483E"/>
    <w:rsid w:val="00084C50"/>
    <w:rsid w:val="00084F66"/>
    <w:rsid w:val="000851CF"/>
    <w:rsid w:val="00085587"/>
    <w:rsid w:val="00085701"/>
    <w:rsid w:val="00085B7B"/>
    <w:rsid w:val="00085E75"/>
    <w:rsid w:val="00086511"/>
    <w:rsid w:val="00087313"/>
    <w:rsid w:val="00087B3C"/>
    <w:rsid w:val="00090185"/>
    <w:rsid w:val="00090C34"/>
    <w:rsid w:val="000915F2"/>
    <w:rsid w:val="00091B5D"/>
    <w:rsid w:val="00091F5E"/>
    <w:rsid w:val="00092EF3"/>
    <w:rsid w:val="00093379"/>
    <w:rsid w:val="00094244"/>
    <w:rsid w:val="00094AB5"/>
    <w:rsid w:val="00094CEC"/>
    <w:rsid w:val="00095207"/>
    <w:rsid w:val="000952C5"/>
    <w:rsid w:val="00096651"/>
    <w:rsid w:val="00096909"/>
    <w:rsid w:val="0009690B"/>
    <w:rsid w:val="000971E8"/>
    <w:rsid w:val="00097315"/>
    <w:rsid w:val="00097C5A"/>
    <w:rsid w:val="00097EA0"/>
    <w:rsid w:val="000A0B3C"/>
    <w:rsid w:val="000A0F6A"/>
    <w:rsid w:val="000A129D"/>
    <w:rsid w:val="000A2431"/>
    <w:rsid w:val="000A43BA"/>
    <w:rsid w:val="000A510C"/>
    <w:rsid w:val="000A5288"/>
    <w:rsid w:val="000A55D7"/>
    <w:rsid w:val="000A5F92"/>
    <w:rsid w:val="000A67C5"/>
    <w:rsid w:val="000A79B2"/>
    <w:rsid w:val="000A7CDA"/>
    <w:rsid w:val="000A7D05"/>
    <w:rsid w:val="000B0303"/>
    <w:rsid w:val="000B0AC9"/>
    <w:rsid w:val="000B12E7"/>
    <w:rsid w:val="000B2B80"/>
    <w:rsid w:val="000B3396"/>
    <w:rsid w:val="000B4123"/>
    <w:rsid w:val="000B4245"/>
    <w:rsid w:val="000B43C2"/>
    <w:rsid w:val="000B43C4"/>
    <w:rsid w:val="000B4E75"/>
    <w:rsid w:val="000B5CB2"/>
    <w:rsid w:val="000B6E72"/>
    <w:rsid w:val="000B718A"/>
    <w:rsid w:val="000B75A2"/>
    <w:rsid w:val="000C0537"/>
    <w:rsid w:val="000C0F74"/>
    <w:rsid w:val="000C1365"/>
    <w:rsid w:val="000C151E"/>
    <w:rsid w:val="000C1555"/>
    <w:rsid w:val="000C167E"/>
    <w:rsid w:val="000C188A"/>
    <w:rsid w:val="000C1A01"/>
    <w:rsid w:val="000C1CE6"/>
    <w:rsid w:val="000C2754"/>
    <w:rsid w:val="000C2D93"/>
    <w:rsid w:val="000C32E5"/>
    <w:rsid w:val="000C3339"/>
    <w:rsid w:val="000C36BC"/>
    <w:rsid w:val="000C3E3A"/>
    <w:rsid w:val="000C3F6D"/>
    <w:rsid w:val="000C3F9D"/>
    <w:rsid w:val="000C46C6"/>
    <w:rsid w:val="000C4CD0"/>
    <w:rsid w:val="000C4D6C"/>
    <w:rsid w:val="000C5014"/>
    <w:rsid w:val="000C5140"/>
    <w:rsid w:val="000C537A"/>
    <w:rsid w:val="000C58BE"/>
    <w:rsid w:val="000C5F2D"/>
    <w:rsid w:val="000C6010"/>
    <w:rsid w:val="000C6981"/>
    <w:rsid w:val="000C6D24"/>
    <w:rsid w:val="000C7004"/>
    <w:rsid w:val="000C7274"/>
    <w:rsid w:val="000C740D"/>
    <w:rsid w:val="000C7687"/>
    <w:rsid w:val="000C7923"/>
    <w:rsid w:val="000D07F1"/>
    <w:rsid w:val="000D123F"/>
    <w:rsid w:val="000D1821"/>
    <w:rsid w:val="000D19D2"/>
    <w:rsid w:val="000D2296"/>
    <w:rsid w:val="000D2A71"/>
    <w:rsid w:val="000D2E2E"/>
    <w:rsid w:val="000D31F1"/>
    <w:rsid w:val="000D36B9"/>
    <w:rsid w:val="000D3D9D"/>
    <w:rsid w:val="000D4833"/>
    <w:rsid w:val="000D4DBA"/>
    <w:rsid w:val="000D4E56"/>
    <w:rsid w:val="000D503C"/>
    <w:rsid w:val="000D53AA"/>
    <w:rsid w:val="000D53B2"/>
    <w:rsid w:val="000D54B0"/>
    <w:rsid w:val="000D5FA8"/>
    <w:rsid w:val="000D68A8"/>
    <w:rsid w:val="000D755F"/>
    <w:rsid w:val="000D7962"/>
    <w:rsid w:val="000E09E7"/>
    <w:rsid w:val="000E25F0"/>
    <w:rsid w:val="000E4FB9"/>
    <w:rsid w:val="000E5656"/>
    <w:rsid w:val="000E5DF5"/>
    <w:rsid w:val="000E7B59"/>
    <w:rsid w:val="000F00AF"/>
    <w:rsid w:val="000F0765"/>
    <w:rsid w:val="000F0A5C"/>
    <w:rsid w:val="000F0B05"/>
    <w:rsid w:val="000F0C0C"/>
    <w:rsid w:val="000F13B2"/>
    <w:rsid w:val="000F2932"/>
    <w:rsid w:val="000F3327"/>
    <w:rsid w:val="000F371C"/>
    <w:rsid w:val="000F3F29"/>
    <w:rsid w:val="000F4BAC"/>
    <w:rsid w:val="000F5295"/>
    <w:rsid w:val="000F54B1"/>
    <w:rsid w:val="000F568C"/>
    <w:rsid w:val="000F56DA"/>
    <w:rsid w:val="000F62E9"/>
    <w:rsid w:val="000F7477"/>
    <w:rsid w:val="000F78C0"/>
    <w:rsid w:val="000F7F5C"/>
    <w:rsid w:val="0010084B"/>
    <w:rsid w:val="001016D2"/>
    <w:rsid w:val="00101EF4"/>
    <w:rsid w:val="00102378"/>
    <w:rsid w:val="001023AB"/>
    <w:rsid w:val="001026CA"/>
    <w:rsid w:val="00102F83"/>
    <w:rsid w:val="00103B80"/>
    <w:rsid w:val="001053B4"/>
    <w:rsid w:val="00105A8C"/>
    <w:rsid w:val="00105F61"/>
    <w:rsid w:val="0010618A"/>
    <w:rsid w:val="00106E42"/>
    <w:rsid w:val="00106FBA"/>
    <w:rsid w:val="00107482"/>
    <w:rsid w:val="001075B0"/>
    <w:rsid w:val="00107C7D"/>
    <w:rsid w:val="001103B6"/>
    <w:rsid w:val="0011063F"/>
    <w:rsid w:val="00110774"/>
    <w:rsid w:val="0011127F"/>
    <w:rsid w:val="00111DB1"/>
    <w:rsid w:val="00111FD1"/>
    <w:rsid w:val="00112572"/>
    <w:rsid w:val="00112E1B"/>
    <w:rsid w:val="001136E1"/>
    <w:rsid w:val="00113984"/>
    <w:rsid w:val="00113AA4"/>
    <w:rsid w:val="001141DC"/>
    <w:rsid w:val="0011434D"/>
    <w:rsid w:val="0011436B"/>
    <w:rsid w:val="00114A06"/>
    <w:rsid w:val="00115CF9"/>
    <w:rsid w:val="00115F33"/>
    <w:rsid w:val="0011624A"/>
    <w:rsid w:val="00116284"/>
    <w:rsid w:val="001164E7"/>
    <w:rsid w:val="0011667A"/>
    <w:rsid w:val="001169BE"/>
    <w:rsid w:val="00116CA6"/>
    <w:rsid w:val="00117B8D"/>
    <w:rsid w:val="001204DD"/>
    <w:rsid w:val="00121373"/>
    <w:rsid w:val="00121B61"/>
    <w:rsid w:val="00121DE2"/>
    <w:rsid w:val="001236CE"/>
    <w:rsid w:val="00123A5E"/>
    <w:rsid w:val="001257A5"/>
    <w:rsid w:val="0012608B"/>
    <w:rsid w:val="001264E7"/>
    <w:rsid w:val="001270D3"/>
    <w:rsid w:val="001273A0"/>
    <w:rsid w:val="00127E5B"/>
    <w:rsid w:val="00127FD9"/>
    <w:rsid w:val="0013109F"/>
    <w:rsid w:val="001312F9"/>
    <w:rsid w:val="001312FF"/>
    <w:rsid w:val="00131619"/>
    <w:rsid w:val="00131680"/>
    <w:rsid w:val="00131757"/>
    <w:rsid w:val="001319E6"/>
    <w:rsid w:val="00131C6B"/>
    <w:rsid w:val="00131C6F"/>
    <w:rsid w:val="001320CE"/>
    <w:rsid w:val="001324BF"/>
    <w:rsid w:val="00132E65"/>
    <w:rsid w:val="00133865"/>
    <w:rsid w:val="00133B7E"/>
    <w:rsid w:val="00135279"/>
    <w:rsid w:val="0013570A"/>
    <w:rsid w:val="001357A0"/>
    <w:rsid w:val="001357E4"/>
    <w:rsid w:val="001357FB"/>
    <w:rsid w:val="00135E4D"/>
    <w:rsid w:val="00136EEF"/>
    <w:rsid w:val="001373AE"/>
    <w:rsid w:val="0014099E"/>
    <w:rsid w:val="00140FAB"/>
    <w:rsid w:val="0014127A"/>
    <w:rsid w:val="00141329"/>
    <w:rsid w:val="0014297E"/>
    <w:rsid w:val="0014353B"/>
    <w:rsid w:val="001443A2"/>
    <w:rsid w:val="00144720"/>
    <w:rsid w:val="00144D8D"/>
    <w:rsid w:val="00144EC0"/>
    <w:rsid w:val="00144F90"/>
    <w:rsid w:val="001454CE"/>
    <w:rsid w:val="001468E1"/>
    <w:rsid w:val="00146A39"/>
    <w:rsid w:val="00146ABE"/>
    <w:rsid w:val="00146CF3"/>
    <w:rsid w:val="0014731F"/>
    <w:rsid w:val="00147BFE"/>
    <w:rsid w:val="00150456"/>
    <w:rsid w:val="001511A4"/>
    <w:rsid w:val="0015196E"/>
    <w:rsid w:val="00151EF7"/>
    <w:rsid w:val="0015216C"/>
    <w:rsid w:val="001521B3"/>
    <w:rsid w:val="001522CD"/>
    <w:rsid w:val="00152CA8"/>
    <w:rsid w:val="00153A49"/>
    <w:rsid w:val="00153FC4"/>
    <w:rsid w:val="001540F0"/>
    <w:rsid w:val="00154179"/>
    <w:rsid w:val="00154955"/>
    <w:rsid w:val="00156430"/>
    <w:rsid w:val="00156D50"/>
    <w:rsid w:val="00157124"/>
    <w:rsid w:val="001571E2"/>
    <w:rsid w:val="00157294"/>
    <w:rsid w:val="001574A6"/>
    <w:rsid w:val="00160310"/>
    <w:rsid w:val="001604B4"/>
    <w:rsid w:val="0016105A"/>
    <w:rsid w:val="00161298"/>
    <w:rsid w:val="0016174E"/>
    <w:rsid w:val="001622CE"/>
    <w:rsid w:val="00162382"/>
    <w:rsid w:val="00162390"/>
    <w:rsid w:val="00162487"/>
    <w:rsid w:val="001625AD"/>
    <w:rsid w:val="00162F28"/>
    <w:rsid w:val="00162F3C"/>
    <w:rsid w:val="00163307"/>
    <w:rsid w:val="00163682"/>
    <w:rsid w:val="00163862"/>
    <w:rsid w:val="00164EBB"/>
    <w:rsid w:val="00164F00"/>
    <w:rsid w:val="0016536C"/>
    <w:rsid w:val="00165454"/>
    <w:rsid w:val="0016602F"/>
    <w:rsid w:val="00166A65"/>
    <w:rsid w:val="00166D84"/>
    <w:rsid w:val="00166ECB"/>
    <w:rsid w:val="00167B0C"/>
    <w:rsid w:val="00171060"/>
    <w:rsid w:val="001717F4"/>
    <w:rsid w:val="001720AA"/>
    <w:rsid w:val="00172493"/>
    <w:rsid w:val="00172543"/>
    <w:rsid w:val="00172FEC"/>
    <w:rsid w:val="001736AB"/>
    <w:rsid w:val="00173AF9"/>
    <w:rsid w:val="0017417D"/>
    <w:rsid w:val="00174203"/>
    <w:rsid w:val="00174784"/>
    <w:rsid w:val="00174FC4"/>
    <w:rsid w:val="00175083"/>
    <w:rsid w:val="0017511C"/>
    <w:rsid w:val="00175811"/>
    <w:rsid w:val="00175F58"/>
    <w:rsid w:val="001766B1"/>
    <w:rsid w:val="00176AC8"/>
    <w:rsid w:val="00176F08"/>
    <w:rsid w:val="00177959"/>
    <w:rsid w:val="00177B57"/>
    <w:rsid w:val="0018022A"/>
    <w:rsid w:val="00180447"/>
    <w:rsid w:val="001808C2"/>
    <w:rsid w:val="00180A6B"/>
    <w:rsid w:val="00181102"/>
    <w:rsid w:val="00181292"/>
    <w:rsid w:val="001814CD"/>
    <w:rsid w:val="00182349"/>
    <w:rsid w:val="00182B1B"/>
    <w:rsid w:val="0018312E"/>
    <w:rsid w:val="001833E0"/>
    <w:rsid w:val="00183E1E"/>
    <w:rsid w:val="00184338"/>
    <w:rsid w:val="00185527"/>
    <w:rsid w:val="00185625"/>
    <w:rsid w:val="001859E1"/>
    <w:rsid w:val="00185A6B"/>
    <w:rsid w:val="0018623D"/>
    <w:rsid w:val="0018657F"/>
    <w:rsid w:val="00187500"/>
    <w:rsid w:val="0018777A"/>
    <w:rsid w:val="00187C4E"/>
    <w:rsid w:val="00187D34"/>
    <w:rsid w:val="00187D91"/>
    <w:rsid w:val="00187E68"/>
    <w:rsid w:val="001901FB"/>
    <w:rsid w:val="00190414"/>
    <w:rsid w:val="00191254"/>
    <w:rsid w:val="00191776"/>
    <w:rsid w:val="001922C4"/>
    <w:rsid w:val="0019251B"/>
    <w:rsid w:val="00192FD5"/>
    <w:rsid w:val="00193652"/>
    <w:rsid w:val="00193FEA"/>
    <w:rsid w:val="0019406A"/>
    <w:rsid w:val="00194677"/>
    <w:rsid w:val="001947E4"/>
    <w:rsid w:val="00194CAC"/>
    <w:rsid w:val="00194F81"/>
    <w:rsid w:val="001950ED"/>
    <w:rsid w:val="001957DA"/>
    <w:rsid w:val="0019594C"/>
    <w:rsid w:val="0019643F"/>
    <w:rsid w:val="00196E0B"/>
    <w:rsid w:val="00197743"/>
    <w:rsid w:val="001A00B8"/>
    <w:rsid w:val="001A0880"/>
    <w:rsid w:val="001A0E27"/>
    <w:rsid w:val="001A11E5"/>
    <w:rsid w:val="001A17B5"/>
    <w:rsid w:val="001A17DA"/>
    <w:rsid w:val="001A1E81"/>
    <w:rsid w:val="001A29BC"/>
    <w:rsid w:val="001A38C1"/>
    <w:rsid w:val="001A3B8A"/>
    <w:rsid w:val="001A3D09"/>
    <w:rsid w:val="001A4806"/>
    <w:rsid w:val="001A4D5B"/>
    <w:rsid w:val="001A4E91"/>
    <w:rsid w:val="001A555E"/>
    <w:rsid w:val="001A5679"/>
    <w:rsid w:val="001A592E"/>
    <w:rsid w:val="001A59B8"/>
    <w:rsid w:val="001A6398"/>
    <w:rsid w:val="001A6478"/>
    <w:rsid w:val="001A6F13"/>
    <w:rsid w:val="001A71D2"/>
    <w:rsid w:val="001B007E"/>
    <w:rsid w:val="001B08D2"/>
    <w:rsid w:val="001B1241"/>
    <w:rsid w:val="001B1875"/>
    <w:rsid w:val="001B1D7E"/>
    <w:rsid w:val="001B1F36"/>
    <w:rsid w:val="001B254D"/>
    <w:rsid w:val="001B25F8"/>
    <w:rsid w:val="001B298A"/>
    <w:rsid w:val="001B2B99"/>
    <w:rsid w:val="001B33DC"/>
    <w:rsid w:val="001B3565"/>
    <w:rsid w:val="001B3F4D"/>
    <w:rsid w:val="001B3FD9"/>
    <w:rsid w:val="001B45FF"/>
    <w:rsid w:val="001B5AEC"/>
    <w:rsid w:val="001B5E6E"/>
    <w:rsid w:val="001B5F1C"/>
    <w:rsid w:val="001B6328"/>
    <w:rsid w:val="001B64EC"/>
    <w:rsid w:val="001B6B8E"/>
    <w:rsid w:val="001B7761"/>
    <w:rsid w:val="001B7F36"/>
    <w:rsid w:val="001B7FE9"/>
    <w:rsid w:val="001C0107"/>
    <w:rsid w:val="001C02D8"/>
    <w:rsid w:val="001C02FC"/>
    <w:rsid w:val="001C0B32"/>
    <w:rsid w:val="001C15C1"/>
    <w:rsid w:val="001C1900"/>
    <w:rsid w:val="001C1B6C"/>
    <w:rsid w:val="001C22D3"/>
    <w:rsid w:val="001C24FB"/>
    <w:rsid w:val="001C2C1A"/>
    <w:rsid w:val="001C2C45"/>
    <w:rsid w:val="001C2FF2"/>
    <w:rsid w:val="001C3308"/>
    <w:rsid w:val="001C38A3"/>
    <w:rsid w:val="001C549C"/>
    <w:rsid w:val="001C5ACC"/>
    <w:rsid w:val="001C5F5F"/>
    <w:rsid w:val="001C689C"/>
    <w:rsid w:val="001C693D"/>
    <w:rsid w:val="001C6A7A"/>
    <w:rsid w:val="001C7745"/>
    <w:rsid w:val="001D05F1"/>
    <w:rsid w:val="001D0826"/>
    <w:rsid w:val="001D14B0"/>
    <w:rsid w:val="001D1D6E"/>
    <w:rsid w:val="001D26CB"/>
    <w:rsid w:val="001D2724"/>
    <w:rsid w:val="001D29FE"/>
    <w:rsid w:val="001D2DEB"/>
    <w:rsid w:val="001D34EC"/>
    <w:rsid w:val="001D405B"/>
    <w:rsid w:val="001D453E"/>
    <w:rsid w:val="001D4706"/>
    <w:rsid w:val="001D48EF"/>
    <w:rsid w:val="001D4E74"/>
    <w:rsid w:val="001D53B1"/>
    <w:rsid w:val="001D6961"/>
    <w:rsid w:val="001D6BBE"/>
    <w:rsid w:val="001D721E"/>
    <w:rsid w:val="001D7A36"/>
    <w:rsid w:val="001E0AB0"/>
    <w:rsid w:val="001E102A"/>
    <w:rsid w:val="001E16CD"/>
    <w:rsid w:val="001E1949"/>
    <w:rsid w:val="001E1BE0"/>
    <w:rsid w:val="001E1C2E"/>
    <w:rsid w:val="001E1D4E"/>
    <w:rsid w:val="001E2322"/>
    <w:rsid w:val="001E2590"/>
    <w:rsid w:val="001E2B6E"/>
    <w:rsid w:val="001E35B5"/>
    <w:rsid w:val="001E3EBA"/>
    <w:rsid w:val="001E4054"/>
    <w:rsid w:val="001E4409"/>
    <w:rsid w:val="001E5208"/>
    <w:rsid w:val="001E55F9"/>
    <w:rsid w:val="001E5CD4"/>
    <w:rsid w:val="001E5D4E"/>
    <w:rsid w:val="001E6DEC"/>
    <w:rsid w:val="001E7A08"/>
    <w:rsid w:val="001F03D2"/>
    <w:rsid w:val="001F0885"/>
    <w:rsid w:val="001F1CA3"/>
    <w:rsid w:val="001F204B"/>
    <w:rsid w:val="001F21B5"/>
    <w:rsid w:val="001F2B08"/>
    <w:rsid w:val="001F3184"/>
    <w:rsid w:val="001F3467"/>
    <w:rsid w:val="001F55CA"/>
    <w:rsid w:val="001F60EF"/>
    <w:rsid w:val="001F785E"/>
    <w:rsid w:val="001F799C"/>
    <w:rsid w:val="001F7DA7"/>
    <w:rsid w:val="00200455"/>
    <w:rsid w:val="00200E81"/>
    <w:rsid w:val="00200F1A"/>
    <w:rsid w:val="00201553"/>
    <w:rsid w:val="002017BA"/>
    <w:rsid w:val="00201A76"/>
    <w:rsid w:val="0020237C"/>
    <w:rsid w:val="0020246C"/>
    <w:rsid w:val="00202577"/>
    <w:rsid w:val="00202F83"/>
    <w:rsid w:val="00203250"/>
    <w:rsid w:val="0020338E"/>
    <w:rsid w:val="002038C5"/>
    <w:rsid w:val="00204B3C"/>
    <w:rsid w:val="00204DEC"/>
    <w:rsid w:val="00206106"/>
    <w:rsid w:val="002065C5"/>
    <w:rsid w:val="00206D3F"/>
    <w:rsid w:val="00206DFB"/>
    <w:rsid w:val="00206FF4"/>
    <w:rsid w:val="0020718E"/>
    <w:rsid w:val="0020734A"/>
    <w:rsid w:val="00207D40"/>
    <w:rsid w:val="002107B3"/>
    <w:rsid w:val="00210892"/>
    <w:rsid w:val="002110BC"/>
    <w:rsid w:val="002117CE"/>
    <w:rsid w:val="002126DD"/>
    <w:rsid w:val="00212BA1"/>
    <w:rsid w:val="00212F39"/>
    <w:rsid w:val="002132AD"/>
    <w:rsid w:val="00213ED5"/>
    <w:rsid w:val="002146E8"/>
    <w:rsid w:val="00214BEC"/>
    <w:rsid w:val="0021502A"/>
    <w:rsid w:val="00215806"/>
    <w:rsid w:val="0021621B"/>
    <w:rsid w:val="00216A0F"/>
    <w:rsid w:val="00216CB6"/>
    <w:rsid w:val="00216F7E"/>
    <w:rsid w:val="00217643"/>
    <w:rsid w:val="00220501"/>
    <w:rsid w:val="00220973"/>
    <w:rsid w:val="00220999"/>
    <w:rsid w:val="0022222B"/>
    <w:rsid w:val="002227C1"/>
    <w:rsid w:val="00222B3B"/>
    <w:rsid w:val="00222E6C"/>
    <w:rsid w:val="00222FC3"/>
    <w:rsid w:val="00223032"/>
    <w:rsid w:val="002234B6"/>
    <w:rsid w:val="00223579"/>
    <w:rsid w:val="002235AE"/>
    <w:rsid w:val="0022372B"/>
    <w:rsid w:val="002237A0"/>
    <w:rsid w:val="0022489D"/>
    <w:rsid w:val="00224B2F"/>
    <w:rsid w:val="00224CED"/>
    <w:rsid w:val="00225F04"/>
    <w:rsid w:val="00226339"/>
    <w:rsid w:val="002264FC"/>
    <w:rsid w:val="00226676"/>
    <w:rsid w:val="00226A25"/>
    <w:rsid w:val="002270D8"/>
    <w:rsid w:val="00227C4A"/>
    <w:rsid w:val="00227CDA"/>
    <w:rsid w:val="00227F95"/>
    <w:rsid w:val="002305B0"/>
    <w:rsid w:val="0023061F"/>
    <w:rsid w:val="00231778"/>
    <w:rsid w:val="00231AE2"/>
    <w:rsid w:val="00231DA3"/>
    <w:rsid w:val="002326E3"/>
    <w:rsid w:val="0023293E"/>
    <w:rsid w:val="00232B39"/>
    <w:rsid w:val="002332FA"/>
    <w:rsid w:val="00233D54"/>
    <w:rsid w:val="002341C9"/>
    <w:rsid w:val="0023471C"/>
    <w:rsid w:val="00234D82"/>
    <w:rsid w:val="00235FF0"/>
    <w:rsid w:val="00236159"/>
    <w:rsid w:val="0023623D"/>
    <w:rsid w:val="002363EF"/>
    <w:rsid w:val="0023664B"/>
    <w:rsid w:val="00236796"/>
    <w:rsid w:val="00236D8F"/>
    <w:rsid w:val="00236E31"/>
    <w:rsid w:val="00237344"/>
    <w:rsid w:val="0024016F"/>
    <w:rsid w:val="00240732"/>
    <w:rsid w:val="0024095C"/>
    <w:rsid w:val="00240AD1"/>
    <w:rsid w:val="002419C4"/>
    <w:rsid w:val="002420B6"/>
    <w:rsid w:val="00242882"/>
    <w:rsid w:val="00242957"/>
    <w:rsid w:val="00243106"/>
    <w:rsid w:val="002439B2"/>
    <w:rsid w:val="00243B18"/>
    <w:rsid w:val="00243F99"/>
    <w:rsid w:val="00244880"/>
    <w:rsid w:val="0024515A"/>
    <w:rsid w:val="002456E7"/>
    <w:rsid w:val="00245866"/>
    <w:rsid w:val="0024697C"/>
    <w:rsid w:val="00246ECA"/>
    <w:rsid w:val="002471F1"/>
    <w:rsid w:val="0024733B"/>
    <w:rsid w:val="002502C8"/>
    <w:rsid w:val="0025032B"/>
    <w:rsid w:val="00250448"/>
    <w:rsid w:val="00250B6F"/>
    <w:rsid w:val="00251796"/>
    <w:rsid w:val="00251A51"/>
    <w:rsid w:val="0025224E"/>
    <w:rsid w:val="002524DC"/>
    <w:rsid w:val="0025289D"/>
    <w:rsid w:val="00252A4C"/>
    <w:rsid w:val="00252AC8"/>
    <w:rsid w:val="00252E6A"/>
    <w:rsid w:val="00253311"/>
    <w:rsid w:val="00253459"/>
    <w:rsid w:val="002544B8"/>
    <w:rsid w:val="00254A4F"/>
    <w:rsid w:val="0025521E"/>
    <w:rsid w:val="00255EC0"/>
    <w:rsid w:val="00257566"/>
    <w:rsid w:val="002578BF"/>
    <w:rsid w:val="002579DA"/>
    <w:rsid w:val="00260A99"/>
    <w:rsid w:val="00260E46"/>
    <w:rsid w:val="00260F25"/>
    <w:rsid w:val="00260F2A"/>
    <w:rsid w:val="00260FBC"/>
    <w:rsid w:val="00261041"/>
    <w:rsid w:val="00261B3E"/>
    <w:rsid w:val="00262892"/>
    <w:rsid w:val="00262C0E"/>
    <w:rsid w:val="002639EA"/>
    <w:rsid w:val="00263B3A"/>
    <w:rsid w:val="00263C82"/>
    <w:rsid w:val="00264559"/>
    <w:rsid w:val="0026488B"/>
    <w:rsid w:val="002649D8"/>
    <w:rsid w:val="00265582"/>
    <w:rsid w:val="00265939"/>
    <w:rsid w:val="00265C44"/>
    <w:rsid w:val="00265CF4"/>
    <w:rsid w:val="00265F21"/>
    <w:rsid w:val="002673FA"/>
    <w:rsid w:val="0026783D"/>
    <w:rsid w:val="00267968"/>
    <w:rsid w:val="00267CA6"/>
    <w:rsid w:val="00267D34"/>
    <w:rsid w:val="00267F79"/>
    <w:rsid w:val="00270F05"/>
    <w:rsid w:val="00271029"/>
    <w:rsid w:val="002720C6"/>
    <w:rsid w:val="00273C28"/>
    <w:rsid w:val="00273D7E"/>
    <w:rsid w:val="00274588"/>
    <w:rsid w:val="00274783"/>
    <w:rsid w:val="00274FD0"/>
    <w:rsid w:val="00275095"/>
    <w:rsid w:val="002751BE"/>
    <w:rsid w:val="00275210"/>
    <w:rsid w:val="00275987"/>
    <w:rsid w:val="0027708B"/>
    <w:rsid w:val="00277700"/>
    <w:rsid w:val="00277A5B"/>
    <w:rsid w:val="00277BD2"/>
    <w:rsid w:val="00277D21"/>
    <w:rsid w:val="00280B50"/>
    <w:rsid w:val="00280DC5"/>
    <w:rsid w:val="00280E3C"/>
    <w:rsid w:val="002811B0"/>
    <w:rsid w:val="0028137C"/>
    <w:rsid w:val="00281546"/>
    <w:rsid w:val="00281818"/>
    <w:rsid w:val="00281B90"/>
    <w:rsid w:val="00282264"/>
    <w:rsid w:val="002823FE"/>
    <w:rsid w:val="00282713"/>
    <w:rsid w:val="00283208"/>
    <w:rsid w:val="0028346C"/>
    <w:rsid w:val="00283B15"/>
    <w:rsid w:val="00284405"/>
    <w:rsid w:val="00284492"/>
    <w:rsid w:val="00284B8E"/>
    <w:rsid w:val="00286CA2"/>
    <w:rsid w:val="00286DA3"/>
    <w:rsid w:val="00286EA4"/>
    <w:rsid w:val="00287FB6"/>
    <w:rsid w:val="00290EE1"/>
    <w:rsid w:val="002912C2"/>
    <w:rsid w:val="002912D3"/>
    <w:rsid w:val="002914D7"/>
    <w:rsid w:val="00291698"/>
    <w:rsid w:val="00291DE8"/>
    <w:rsid w:val="00291EE4"/>
    <w:rsid w:val="002925ED"/>
    <w:rsid w:val="00292664"/>
    <w:rsid w:val="002926BB"/>
    <w:rsid w:val="00292789"/>
    <w:rsid w:val="00292963"/>
    <w:rsid w:val="00292BD5"/>
    <w:rsid w:val="00293208"/>
    <w:rsid w:val="00293799"/>
    <w:rsid w:val="00293F69"/>
    <w:rsid w:val="0029420A"/>
    <w:rsid w:val="00294C24"/>
    <w:rsid w:val="00295808"/>
    <w:rsid w:val="002963AD"/>
    <w:rsid w:val="002964CA"/>
    <w:rsid w:val="00296FBA"/>
    <w:rsid w:val="002973D8"/>
    <w:rsid w:val="002A0B74"/>
    <w:rsid w:val="002A16AD"/>
    <w:rsid w:val="002A174E"/>
    <w:rsid w:val="002A1B2E"/>
    <w:rsid w:val="002A36C4"/>
    <w:rsid w:val="002A38F2"/>
    <w:rsid w:val="002A39D2"/>
    <w:rsid w:val="002A3B53"/>
    <w:rsid w:val="002A3FEB"/>
    <w:rsid w:val="002A48DF"/>
    <w:rsid w:val="002A4D14"/>
    <w:rsid w:val="002A4DAC"/>
    <w:rsid w:val="002A5F72"/>
    <w:rsid w:val="002A6031"/>
    <w:rsid w:val="002A6140"/>
    <w:rsid w:val="002A63D4"/>
    <w:rsid w:val="002A6C89"/>
    <w:rsid w:val="002A6E3B"/>
    <w:rsid w:val="002A740B"/>
    <w:rsid w:val="002B0994"/>
    <w:rsid w:val="002B1272"/>
    <w:rsid w:val="002B14D3"/>
    <w:rsid w:val="002B215D"/>
    <w:rsid w:val="002B25BE"/>
    <w:rsid w:val="002B2AE9"/>
    <w:rsid w:val="002B2D63"/>
    <w:rsid w:val="002B2E60"/>
    <w:rsid w:val="002B334D"/>
    <w:rsid w:val="002B3710"/>
    <w:rsid w:val="002B48A4"/>
    <w:rsid w:val="002B4969"/>
    <w:rsid w:val="002B54BE"/>
    <w:rsid w:val="002B5B69"/>
    <w:rsid w:val="002B5C48"/>
    <w:rsid w:val="002B5D5F"/>
    <w:rsid w:val="002B5F94"/>
    <w:rsid w:val="002B602A"/>
    <w:rsid w:val="002B6409"/>
    <w:rsid w:val="002B6DAF"/>
    <w:rsid w:val="002B6E9A"/>
    <w:rsid w:val="002B70CE"/>
    <w:rsid w:val="002B75E2"/>
    <w:rsid w:val="002B7A1D"/>
    <w:rsid w:val="002C0142"/>
    <w:rsid w:val="002C0B28"/>
    <w:rsid w:val="002C0B2D"/>
    <w:rsid w:val="002C12DC"/>
    <w:rsid w:val="002C1CA7"/>
    <w:rsid w:val="002C2545"/>
    <w:rsid w:val="002C3651"/>
    <w:rsid w:val="002C394F"/>
    <w:rsid w:val="002C3C34"/>
    <w:rsid w:val="002C47D9"/>
    <w:rsid w:val="002C4EA8"/>
    <w:rsid w:val="002C5795"/>
    <w:rsid w:val="002C66C9"/>
    <w:rsid w:val="002C678F"/>
    <w:rsid w:val="002C690F"/>
    <w:rsid w:val="002C6FAB"/>
    <w:rsid w:val="002C74D3"/>
    <w:rsid w:val="002C770D"/>
    <w:rsid w:val="002C775C"/>
    <w:rsid w:val="002C7BD6"/>
    <w:rsid w:val="002C7E57"/>
    <w:rsid w:val="002D021A"/>
    <w:rsid w:val="002D03BB"/>
    <w:rsid w:val="002D0758"/>
    <w:rsid w:val="002D0B2F"/>
    <w:rsid w:val="002D18A5"/>
    <w:rsid w:val="002D18BF"/>
    <w:rsid w:val="002D2014"/>
    <w:rsid w:val="002D28C4"/>
    <w:rsid w:val="002D35F2"/>
    <w:rsid w:val="002D39EC"/>
    <w:rsid w:val="002D3F9E"/>
    <w:rsid w:val="002D54E1"/>
    <w:rsid w:val="002D5E0F"/>
    <w:rsid w:val="002D5E99"/>
    <w:rsid w:val="002D6380"/>
    <w:rsid w:val="002D6760"/>
    <w:rsid w:val="002D6ED1"/>
    <w:rsid w:val="002D7168"/>
    <w:rsid w:val="002D749A"/>
    <w:rsid w:val="002D78B3"/>
    <w:rsid w:val="002D7C3D"/>
    <w:rsid w:val="002E079D"/>
    <w:rsid w:val="002E0C7B"/>
    <w:rsid w:val="002E1797"/>
    <w:rsid w:val="002E1840"/>
    <w:rsid w:val="002E1F56"/>
    <w:rsid w:val="002E1F68"/>
    <w:rsid w:val="002E215B"/>
    <w:rsid w:val="002E217D"/>
    <w:rsid w:val="002E29CF"/>
    <w:rsid w:val="002E2C23"/>
    <w:rsid w:val="002E31BD"/>
    <w:rsid w:val="002E552E"/>
    <w:rsid w:val="002E5B56"/>
    <w:rsid w:val="002E65B0"/>
    <w:rsid w:val="002E6A00"/>
    <w:rsid w:val="002E6C9E"/>
    <w:rsid w:val="002E6D7C"/>
    <w:rsid w:val="002E7088"/>
    <w:rsid w:val="002E78D1"/>
    <w:rsid w:val="002E7961"/>
    <w:rsid w:val="002E79A2"/>
    <w:rsid w:val="002F03A7"/>
    <w:rsid w:val="002F0400"/>
    <w:rsid w:val="002F0703"/>
    <w:rsid w:val="002F0907"/>
    <w:rsid w:val="002F0BC0"/>
    <w:rsid w:val="002F19F9"/>
    <w:rsid w:val="002F2FAA"/>
    <w:rsid w:val="002F31A8"/>
    <w:rsid w:val="002F3E1A"/>
    <w:rsid w:val="002F423D"/>
    <w:rsid w:val="002F45EA"/>
    <w:rsid w:val="002F5774"/>
    <w:rsid w:val="002F59F4"/>
    <w:rsid w:val="002F5DC5"/>
    <w:rsid w:val="002F6310"/>
    <w:rsid w:val="002F6555"/>
    <w:rsid w:val="002F6937"/>
    <w:rsid w:val="002F7036"/>
    <w:rsid w:val="002F70D1"/>
    <w:rsid w:val="002F70E0"/>
    <w:rsid w:val="002F74B7"/>
    <w:rsid w:val="002F7A5B"/>
    <w:rsid w:val="002F7DEE"/>
    <w:rsid w:val="003002ED"/>
    <w:rsid w:val="003006BE"/>
    <w:rsid w:val="00300908"/>
    <w:rsid w:val="00300B94"/>
    <w:rsid w:val="00300D3F"/>
    <w:rsid w:val="00300F5B"/>
    <w:rsid w:val="003019EF"/>
    <w:rsid w:val="00301F00"/>
    <w:rsid w:val="00301F68"/>
    <w:rsid w:val="00301F7C"/>
    <w:rsid w:val="0030226B"/>
    <w:rsid w:val="00302A5C"/>
    <w:rsid w:val="00302D35"/>
    <w:rsid w:val="00303236"/>
    <w:rsid w:val="00303C34"/>
    <w:rsid w:val="00303D2E"/>
    <w:rsid w:val="00304896"/>
    <w:rsid w:val="003049E8"/>
    <w:rsid w:val="00304B16"/>
    <w:rsid w:val="00304E7A"/>
    <w:rsid w:val="00305573"/>
    <w:rsid w:val="00305671"/>
    <w:rsid w:val="00305869"/>
    <w:rsid w:val="00305904"/>
    <w:rsid w:val="00305C17"/>
    <w:rsid w:val="00305FE1"/>
    <w:rsid w:val="0030644E"/>
    <w:rsid w:val="003066B8"/>
    <w:rsid w:val="00306906"/>
    <w:rsid w:val="00306BCE"/>
    <w:rsid w:val="003075CC"/>
    <w:rsid w:val="00307721"/>
    <w:rsid w:val="00307C5E"/>
    <w:rsid w:val="00307F3C"/>
    <w:rsid w:val="0031080E"/>
    <w:rsid w:val="00310AA5"/>
    <w:rsid w:val="003113F5"/>
    <w:rsid w:val="003114F5"/>
    <w:rsid w:val="00311520"/>
    <w:rsid w:val="00311A31"/>
    <w:rsid w:val="00311BFC"/>
    <w:rsid w:val="00311FC0"/>
    <w:rsid w:val="00312194"/>
    <w:rsid w:val="003122BF"/>
    <w:rsid w:val="00312425"/>
    <w:rsid w:val="00312AFF"/>
    <w:rsid w:val="003137B5"/>
    <w:rsid w:val="0031386F"/>
    <w:rsid w:val="00313C87"/>
    <w:rsid w:val="00313E9D"/>
    <w:rsid w:val="00315303"/>
    <w:rsid w:val="003154AF"/>
    <w:rsid w:val="003156AF"/>
    <w:rsid w:val="0031572E"/>
    <w:rsid w:val="003157D2"/>
    <w:rsid w:val="00315C73"/>
    <w:rsid w:val="00316D05"/>
    <w:rsid w:val="00317635"/>
    <w:rsid w:val="00317BBE"/>
    <w:rsid w:val="00317F6A"/>
    <w:rsid w:val="00317F70"/>
    <w:rsid w:val="003205F9"/>
    <w:rsid w:val="00320993"/>
    <w:rsid w:val="00320997"/>
    <w:rsid w:val="00320D4B"/>
    <w:rsid w:val="00320E68"/>
    <w:rsid w:val="0032129C"/>
    <w:rsid w:val="00321E8B"/>
    <w:rsid w:val="0032217B"/>
    <w:rsid w:val="0032241A"/>
    <w:rsid w:val="00322471"/>
    <w:rsid w:val="00322A19"/>
    <w:rsid w:val="00322B9E"/>
    <w:rsid w:val="0032306A"/>
    <w:rsid w:val="00323B09"/>
    <w:rsid w:val="00323B33"/>
    <w:rsid w:val="00324530"/>
    <w:rsid w:val="003245AC"/>
    <w:rsid w:val="003265ED"/>
    <w:rsid w:val="003265F5"/>
    <w:rsid w:val="00326862"/>
    <w:rsid w:val="00327225"/>
    <w:rsid w:val="0032736F"/>
    <w:rsid w:val="003300A3"/>
    <w:rsid w:val="00330734"/>
    <w:rsid w:val="0033083B"/>
    <w:rsid w:val="00330D62"/>
    <w:rsid w:val="00331403"/>
    <w:rsid w:val="0033191E"/>
    <w:rsid w:val="00332682"/>
    <w:rsid w:val="00333C6C"/>
    <w:rsid w:val="0033412C"/>
    <w:rsid w:val="003343D3"/>
    <w:rsid w:val="00334C43"/>
    <w:rsid w:val="003352FB"/>
    <w:rsid w:val="00335A3E"/>
    <w:rsid w:val="00335D1C"/>
    <w:rsid w:val="00335ED4"/>
    <w:rsid w:val="00336101"/>
    <w:rsid w:val="003369DD"/>
    <w:rsid w:val="00337014"/>
    <w:rsid w:val="00337CFB"/>
    <w:rsid w:val="003403C4"/>
    <w:rsid w:val="00340423"/>
    <w:rsid w:val="00340B2C"/>
    <w:rsid w:val="00341D20"/>
    <w:rsid w:val="00341DDC"/>
    <w:rsid w:val="0034486E"/>
    <w:rsid w:val="00344B7C"/>
    <w:rsid w:val="0034508A"/>
    <w:rsid w:val="00345606"/>
    <w:rsid w:val="00345C2A"/>
    <w:rsid w:val="00346347"/>
    <w:rsid w:val="0034651E"/>
    <w:rsid w:val="00347478"/>
    <w:rsid w:val="00347676"/>
    <w:rsid w:val="0034775A"/>
    <w:rsid w:val="0034781B"/>
    <w:rsid w:val="00347EB8"/>
    <w:rsid w:val="00347EBB"/>
    <w:rsid w:val="00350395"/>
    <w:rsid w:val="003509B6"/>
    <w:rsid w:val="00350FFB"/>
    <w:rsid w:val="0035113E"/>
    <w:rsid w:val="00351622"/>
    <w:rsid w:val="0035185A"/>
    <w:rsid w:val="00351869"/>
    <w:rsid w:val="00351AFF"/>
    <w:rsid w:val="00351C6E"/>
    <w:rsid w:val="00351F86"/>
    <w:rsid w:val="00352496"/>
    <w:rsid w:val="00352644"/>
    <w:rsid w:val="0035271D"/>
    <w:rsid w:val="003531F3"/>
    <w:rsid w:val="003533D7"/>
    <w:rsid w:val="0035372C"/>
    <w:rsid w:val="00353E3F"/>
    <w:rsid w:val="00353E6E"/>
    <w:rsid w:val="00354038"/>
    <w:rsid w:val="00354C18"/>
    <w:rsid w:val="00355756"/>
    <w:rsid w:val="0035576B"/>
    <w:rsid w:val="00355D22"/>
    <w:rsid w:val="003562B6"/>
    <w:rsid w:val="00356462"/>
    <w:rsid w:val="0035648B"/>
    <w:rsid w:val="003573EC"/>
    <w:rsid w:val="00357AF1"/>
    <w:rsid w:val="00357BB8"/>
    <w:rsid w:val="00357C01"/>
    <w:rsid w:val="0036012F"/>
    <w:rsid w:val="00361115"/>
    <w:rsid w:val="003611F0"/>
    <w:rsid w:val="00361370"/>
    <w:rsid w:val="0036156F"/>
    <w:rsid w:val="00361978"/>
    <w:rsid w:val="00361D63"/>
    <w:rsid w:val="0036225D"/>
    <w:rsid w:val="00362616"/>
    <w:rsid w:val="003626FA"/>
    <w:rsid w:val="00362881"/>
    <w:rsid w:val="00363C93"/>
    <w:rsid w:val="00365900"/>
    <w:rsid w:val="00365FD7"/>
    <w:rsid w:val="00366109"/>
    <w:rsid w:val="003662B1"/>
    <w:rsid w:val="003663E8"/>
    <w:rsid w:val="00366C2A"/>
    <w:rsid w:val="00366FB4"/>
    <w:rsid w:val="0036718C"/>
    <w:rsid w:val="00367D07"/>
    <w:rsid w:val="0037098E"/>
    <w:rsid w:val="00370A93"/>
    <w:rsid w:val="00370B51"/>
    <w:rsid w:val="00371CDC"/>
    <w:rsid w:val="0037203E"/>
    <w:rsid w:val="003726FD"/>
    <w:rsid w:val="0037353C"/>
    <w:rsid w:val="00373929"/>
    <w:rsid w:val="00373C60"/>
    <w:rsid w:val="00373D44"/>
    <w:rsid w:val="00374D12"/>
    <w:rsid w:val="003751B7"/>
    <w:rsid w:val="00375734"/>
    <w:rsid w:val="00375C9A"/>
    <w:rsid w:val="00375EED"/>
    <w:rsid w:val="00375F5B"/>
    <w:rsid w:val="0037709E"/>
    <w:rsid w:val="003779AF"/>
    <w:rsid w:val="003800F6"/>
    <w:rsid w:val="00380C64"/>
    <w:rsid w:val="00380E17"/>
    <w:rsid w:val="00381723"/>
    <w:rsid w:val="003819BB"/>
    <w:rsid w:val="00381FE0"/>
    <w:rsid w:val="00382CD2"/>
    <w:rsid w:val="0038349E"/>
    <w:rsid w:val="00383572"/>
    <w:rsid w:val="003837AC"/>
    <w:rsid w:val="00383B4D"/>
    <w:rsid w:val="00384211"/>
    <w:rsid w:val="00384C58"/>
    <w:rsid w:val="003862EE"/>
    <w:rsid w:val="003866B2"/>
    <w:rsid w:val="00386A82"/>
    <w:rsid w:val="00387180"/>
    <w:rsid w:val="00387AEE"/>
    <w:rsid w:val="00387AF0"/>
    <w:rsid w:val="00387F7E"/>
    <w:rsid w:val="0039048D"/>
    <w:rsid w:val="00390601"/>
    <w:rsid w:val="003909E9"/>
    <w:rsid w:val="00391BB4"/>
    <w:rsid w:val="00392923"/>
    <w:rsid w:val="00392EAF"/>
    <w:rsid w:val="00393455"/>
    <w:rsid w:val="003934E8"/>
    <w:rsid w:val="00393A8E"/>
    <w:rsid w:val="00393C01"/>
    <w:rsid w:val="00394619"/>
    <w:rsid w:val="003946D5"/>
    <w:rsid w:val="0039509A"/>
    <w:rsid w:val="003951A7"/>
    <w:rsid w:val="00395A64"/>
    <w:rsid w:val="00395A7E"/>
    <w:rsid w:val="00396BB0"/>
    <w:rsid w:val="003973B8"/>
    <w:rsid w:val="003A000A"/>
    <w:rsid w:val="003A0084"/>
    <w:rsid w:val="003A0EA1"/>
    <w:rsid w:val="003A10BB"/>
    <w:rsid w:val="003A194F"/>
    <w:rsid w:val="003A202A"/>
    <w:rsid w:val="003A2852"/>
    <w:rsid w:val="003A2EBF"/>
    <w:rsid w:val="003A33FF"/>
    <w:rsid w:val="003A3849"/>
    <w:rsid w:val="003A40F5"/>
    <w:rsid w:val="003A43AC"/>
    <w:rsid w:val="003A469A"/>
    <w:rsid w:val="003A479A"/>
    <w:rsid w:val="003A4A62"/>
    <w:rsid w:val="003A4CFA"/>
    <w:rsid w:val="003A4EE3"/>
    <w:rsid w:val="003A567C"/>
    <w:rsid w:val="003A6419"/>
    <w:rsid w:val="003A670B"/>
    <w:rsid w:val="003A673B"/>
    <w:rsid w:val="003A6D54"/>
    <w:rsid w:val="003A746B"/>
    <w:rsid w:val="003A7526"/>
    <w:rsid w:val="003A7575"/>
    <w:rsid w:val="003A7868"/>
    <w:rsid w:val="003B0BE9"/>
    <w:rsid w:val="003B0FD5"/>
    <w:rsid w:val="003B1752"/>
    <w:rsid w:val="003B19DC"/>
    <w:rsid w:val="003B204B"/>
    <w:rsid w:val="003B2F03"/>
    <w:rsid w:val="003B2F45"/>
    <w:rsid w:val="003B30AE"/>
    <w:rsid w:val="003B4024"/>
    <w:rsid w:val="003B44C9"/>
    <w:rsid w:val="003B4641"/>
    <w:rsid w:val="003B4843"/>
    <w:rsid w:val="003B611C"/>
    <w:rsid w:val="003B7070"/>
    <w:rsid w:val="003B709A"/>
    <w:rsid w:val="003B79B7"/>
    <w:rsid w:val="003C00E0"/>
    <w:rsid w:val="003C01CC"/>
    <w:rsid w:val="003C0890"/>
    <w:rsid w:val="003C0C2A"/>
    <w:rsid w:val="003C15EF"/>
    <w:rsid w:val="003C2747"/>
    <w:rsid w:val="003C4012"/>
    <w:rsid w:val="003C4D71"/>
    <w:rsid w:val="003C4F25"/>
    <w:rsid w:val="003C6C32"/>
    <w:rsid w:val="003C7062"/>
    <w:rsid w:val="003D044F"/>
    <w:rsid w:val="003D0E1E"/>
    <w:rsid w:val="003D1C93"/>
    <w:rsid w:val="003D2211"/>
    <w:rsid w:val="003D2455"/>
    <w:rsid w:val="003D30B8"/>
    <w:rsid w:val="003D3A1C"/>
    <w:rsid w:val="003D47AA"/>
    <w:rsid w:val="003D47D9"/>
    <w:rsid w:val="003D4852"/>
    <w:rsid w:val="003D4CFD"/>
    <w:rsid w:val="003D61FE"/>
    <w:rsid w:val="003D6CC0"/>
    <w:rsid w:val="003D7C6A"/>
    <w:rsid w:val="003E0D0E"/>
    <w:rsid w:val="003E126F"/>
    <w:rsid w:val="003E16D4"/>
    <w:rsid w:val="003E1D84"/>
    <w:rsid w:val="003E203E"/>
    <w:rsid w:val="003E21F1"/>
    <w:rsid w:val="003E2A09"/>
    <w:rsid w:val="003E32D4"/>
    <w:rsid w:val="003E3732"/>
    <w:rsid w:val="003E373C"/>
    <w:rsid w:val="003E399B"/>
    <w:rsid w:val="003E3BFF"/>
    <w:rsid w:val="003E472A"/>
    <w:rsid w:val="003E4909"/>
    <w:rsid w:val="003E5385"/>
    <w:rsid w:val="003E552A"/>
    <w:rsid w:val="003E58FD"/>
    <w:rsid w:val="003E5DDA"/>
    <w:rsid w:val="003E5EA7"/>
    <w:rsid w:val="003E65C4"/>
    <w:rsid w:val="003E6E9C"/>
    <w:rsid w:val="003E7666"/>
    <w:rsid w:val="003E7EC8"/>
    <w:rsid w:val="003F0778"/>
    <w:rsid w:val="003F1600"/>
    <w:rsid w:val="003F1DA2"/>
    <w:rsid w:val="003F275D"/>
    <w:rsid w:val="003F2F10"/>
    <w:rsid w:val="003F3654"/>
    <w:rsid w:val="003F4219"/>
    <w:rsid w:val="003F436A"/>
    <w:rsid w:val="003F446D"/>
    <w:rsid w:val="003F4ACC"/>
    <w:rsid w:val="003F509F"/>
    <w:rsid w:val="003F56D2"/>
    <w:rsid w:val="003F5DD6"/>
    <w:rsid w:val="003F6401"/>
    <w:rsid w:val="003F6C64"/>
    <w:rsid w:val="003F798A"/>
    <w:rsid w:val="00400EAF"/>
    <w:rsid w:val="00401950"/>
    <w:rsid w:val="00402133"/>
    <w:rsid w:val="004029CA"/>
    <w:rsid w:val="0040419D"/>
    <w:rsid w:val="00404510"/>
    <w:rsid w:val="004055F1"/>
    <w:rsid w:val="004058C7"/>
    <w:rsid w:val="00405BE6"/>
    <w:rsid w:val="00406457"/>
    <w:rsid w:val="00406B2D"/>
    <w:rsid w:val="00406F64"/>
    <w:rsid w:val="004070BB"/>
    <w:rsid w:val="004071EC"/>
    <w:rsid w:val="0040797A"/>
    <w:rsid w:val="0041017B"/>
    <w:rsid w:val="00410539"/>
    <w:rsid w:val="00410788"/>
    <w:rsid w:val="00411345"/>
    <w:rsid w:val="00413221"/>
    <w:rsid w:val="00415B6F"/>
    <w:rsid w:val="00416968"/>
    <w:rsid w:val="004174CD"/>
    <w:rsid w:val="004176E7"/>
    <w:rsid w:val="00417801"/>
    <w:rsid w:val="00420740"/>
    <w:rsid w:val="00421D84"/>
    <w:rsid w:val="00421E26"/>
    <w:rsid w:val="004224F9"/>
    <w:rsid w:val="00422DE1"/>
    <w:rsid w:val="0042333E"/>
    <w:rsid w:val="00423B53"/>
    <w:rsid w:val="004247D7"/>
    <w:rsid w:val="004254B3"/>
    <w:rsid w:val="00425CAF"/>
    <w:rsid w:val="00425EE9"/>
    <w:rsid w:val="0042611C"/>
    <w:rsid w:val="00426536"/>
    <w:rsid w:val="00426935"/>
    <w:rsid w:val="004307DD"/>
    <w:rsid w:val="00431512"/>
    <w:rsid w:val="004316F2"/>
    <w:rsid w:val="0043175B"/>
    <w:rsid w:val="00431843"/>
    <w:rsid w:val="00432C41"/>
    <w:rsid w:val="00432E0F"/>
    <w:rsid w:val="00433240"/>
    <w:rsid w:val="004339BD"/>
    <w:rsid w:val="00433C9D"/>
    <w:rsid w:val="00433ED1"/>
    <w:rsid w:val="00433ED3"/>
    <w:rsid w:val="00433FB4"/>
    <w:rsid w:val="0043407A"/>
    <w:rsid w:val="004341A4"/>
    <w:rsid w:val="004342A3"/>
    <w:rsid w:val="00435154"/>
    <w:rsid w:val="004353BD"/>
    <w:rsid w:val="004356DA"/>
    <w:rsid w:val="0043664E"/>
    <w:rsid w:val="00436C27"/>
    <w:rsid w:val="00436CBA"/>
    <w:rsid w:val="00437299"/>
    <w:rsid w:val="004376AE"/>
    <w:rsid w:val="004379A9"/>
    <w:rsid w:val="00437E14"/>
    <w:rsid w:val="00440BE8"/>
    <w:rsid w:val="0044127D"/>
    <w:rsid w:val="0044158F"/>
    <w:rsid w:val="00441EB1"/>
    <w:rsid w:val="00441FA4"/>
    <w:rsid w:val="0044249E"/>
    <w:rsid w:val="0044282B"/>
    <w:rsid w:val="00442BD1"/>
    <w:rsid w:val="00442F39"/>
    <w:rsid w:val="00443647"/>
    <w:rsid w:val="004436D3"/>
    <w:rsid w:val="00443B64"/>
    <w:rsid w:val="00443CE4"/>
    <w:rsid w:val="004440BD"/>
    <w:rsid w:val="0044464C"/>
    <w:rsid w:val="00445155"/>
    <w:rsid w:val="00445A02"/>
    <w:rsid w:val="00445DC8"/>
    <w:rsid w:val="004461AF"/>
    <w:rsid w:val="004463BA"/>
    <w:rsid w:val="00446720"/>
    <w:rsid w:val="00446950"/>
    <w:rsid w:val="0044794E"/>
    <w:rsid w:val="00450B6D"/>
    <w:rsid w:val="0045101A"/>
    <w:rsid w:val="00451026"/>
    <w:rsid w:val="004532E0"/>
    <w:rsid w:val="00453671"/>
    <w:rsid w:val="00453922"/>
    <w:rsid w:val="004539EB"/>
    <w:rsid w:val="004541F0"/>
    <w:rsid w:val="004554F1"/>
    <w:rsid w:val="00455EC8"/>
    <w:rsid w:val="00455F76"/>
    <w:rsid w:val="00456387"/>
    <w:rsid w:val="00460B21"/>
    <w:rsid w:val="00460BA1"/>
    <w:rsid w:val="00460C34"/>
    <w:rsid w:val="0046141D"/>
    <w:rsid w:val="0046163F"/>
    <w:rsid w:val="004616F3"/>
    <w:rsid w:val="00461ABE"/>
    <w:rsid w:val="00461B4E"/>
    <w:rsid w:val="00461EDE"/>
    <w:rsid w:val="00461FB8"/>
    <w:rsid w:val="004628A4"/>
    <w:rsid w:val="00462AFF"/>
    <w:rsid w:val="00462CD0"/>
    <w:rsid w:val="00462E9D"/>
    <w:rsid w:val="0046520A"/>
    <w:rsid w:val="004663B0"/>
    <w:rsid w:val="00466417"/>
    <w:rsid w:val="00466A16"/>
    <w:rsid w:val="00466CA3"/>
    <w:rsid w:val="0046710B"/>
    <w:rsid w:val="004676B8"/>
    <w:rsid w:val="0046773C"/>
    <w:rsid w:val="00467A7D"/>
    <w:rsid w:val="00470095"/>
    <w:rsid w:val="004703A0"/>
    <w:rsid w:val="004709CE"/>
    <w:rsid w:val="00471B1B"/>
    <w:rsid w:val="00472051"/>
    <w:rsid w:val="00472383"/>
    <w:rsid w:val="0047257D"/>
    <w:rsid w:val="00472891"/>
    <w:rsid w:val="004728F2"/>
    <w:rsid w:val="00473870"/>
    <w:rsid w:val="00473C26"/>
    <w:rsid w:val="004743A0"/>
    <w:rsid w:val="004744AE"/>
    <w:rsid w:val="004745FD"/>
    <w:rsid w:val="004754CD"/>
    <w:rsid w:val="00475CD7"/>
    <w:rsid w:val="00476246"/>
    <w:rsid w:val="004768C4"/>
    <w:rsid w:val="00476D7E"/>
    <w:rsid w:val="00477006"/>
    <w:rsid w:val="0047773A"/>
    <w:rsid w:val="00477C00"/>
    <w:rsid w:val="00480327"/>
    <w:rsid w:val="00480A4B"/>
    <w:rsid w:val="00480EE5"/>
    <w:rsid w:val="00481558"/>
    <w:rsid w:val="0048157B"/>
    <w:rsid w:val="00481C4C"/>
    <w:rsid w:val="00481F52"/>
    <w:rsid w:val="004820A9"/>
    <w:rsid w:val="00482F36"/>
    <w:rsid w:val="0048347A"/>
    <w:rsid w:val="00483873"/>
    <w:rsid w:val="00483B58"/>
    <w:rsid w:val="00484087"/>
    <w:rsid w:val="0048433B"/>
    <w:rsid w:val="00484695"/>
    <w:rsid w:val="004849AC"/>
    <w:rsid w:val="00484FDB"/>
    <w:rsid w:val="004853E5"/>
    <w:rsid w:val="00486C61"/>
    <w:rsid w:val="00487A02"/>
    <w:rsid w:val="00487FB9"/>
    <w:rsid w:val="00490731"/>
    <w:rsid w:val="00490C13"/>
    <w:rsid w:val="00490D50"/>
    <w:rsid w:val="0049113A"/>
    <w:rsid w:val="004912C0"/>
    <w:rsid w:val="004913B9"/>
    <w:rsid w:val="004918B1"/>
    <w:rsid w:val="00491D52"/>
    <w:rsid w:val="00491E2E"/>
    <w:rsid w:val="00492337"/>
    <w:rsid w:val="00492B55"/>
    <w:rsid w:val="00493DA2"/>
    <w:rsid w:val="004947D3"/>
    <w:rsid w:val="00494C13"/>
    <w:rsid w:val="004950CA"/>
    <w:rsid w:val="004951A3"/>
    <w:rsid w:val="004957D4"/>
    <w:rsid w:val="00495CA3"/>
    <w:rsid w:val="00495F15"/>
    <w:rsid w:val="00496EBF"/>
    <w:rsid w:val="004977BA"/>
    <w:rsid w:val="00497E2D"/>
    <w:rsid w:val="00497E40"/>
    <w:rsid w:val="00497F07"/>
    <w:rsid w:val="00497FB9"/>
    <w:rsid w:val="004A0108"/>
    <w:rsid w:val="004A08D5"/>
    <w:rsid w:val="004A0979"/>
    <w:rsid w:val="004A1774"/>
    <w:rsid w:val="004A1941"/>
    <w:rsid w:val="004A1AAB"/>
    <w:rsid w:val="004A2310"/>
    <w:rsid w:val="004A236E"/>
    <w:rsid w:val="004A2591"/>
    <w:rsid w:val="004A289A"/>
    <w:rsid w:val="004A2BA6"/>
    <w:rsid w:val="004A37BB"/>
    <w:rsid w:val="004A3C2C"/>
    <w:rsid w:val="004A3E23"/>
    <w:rsid w:val="004A483D"/>
    <w:rsid w:val="004A49C2"/>
    <w:rsid w:val="004A4D15"/>
    <w:rsid w:val="004A5081"/>
    <w:rsid w:val="004A531A"/>
    <w:rsid w:val="004A5A1E"/>
    <w:rsid w:val="004A609B"/>
    <w:rsid w:val="004A6395"/>
    <w:rsid w:val="004A69A0"/>
    <w:rsid w:val="004A6CEE"/>
    <w:rsid w:val="004A752B"/>
    <w:rsid w:val="004A76EB"/>
    <w:rsid w:val="004A7854"/>
    <w:rsid w:val="004A788B"/>
    <w:rsid w:val="004A79DB"/>
    <w:rsid w:val="004A7B2C"/>
    <w:rsid w:val="004B1CD5"/>
    <w:rsid w:val="004B22F3"/>
    <w:rsid w:val="004B26FE"/>
    <w:rsid w:val="004B2FC9"/>
    <w:rsid w:val="004B31C9"/>
    <w:rsid w:val="004B3D19"/>
    <w:rsid w:val="004B3E45"/>
    <w:rsid w:val="004B4069"/>
    <w:rsid w:val="004B4355"/>
    <w:rsid w:val="004B4681"/>
    <w:rsid w:val="004B4917"/>
    <w:rsid w:val="004B556B"/>
    <w:rsid w:val="004B6201"/>
    <w:rsid w:val="004B62DF"/>
    <w:rsid w:val="004B68F1"/>
    <w:rsid w:val="004B69A6"/>
    <w:rsid w:val="004B7A33"/>
    <w:rsid w:val="004B7B11"/>
    <w:rsid w:val="004C0014"/>
    <w:rsid w:val="004C0323"/>
    <w:rsid w:val="004C0326"/>
    <w:rsid w:val="004C0B4F"/>
    <w:rsid w:val="004C1923"/>
    <w:rsid w:val="004C1CA8"/>
    <w:rsid w:val="004C1FF6"/>
    <w:rsid w:val="004C204A"/>
    <w:rsid w:val="004C3DA6"/>
    <w:rsid w:val="004C4442"/>
    <w:rsid w:val="004C44C0"/>
    <w:rsid w:val="004C50C9"/>
    <w:rsid w:val="004C5B88"/>
    <w:rsid w:val="004C62B9"/>
    <w:rsid w:val="004C7080"/>
    <w:rsid w:val="004C7435"/>
    <w:rsid w:val="004C75C3"/>
    <w:rsid w:val="004C75F6"/>
    <w:rsid w:val="004C79AB"/>
    <w:rsid w:val="004C7A13"/>
    <w:rsid w:val="004C7A35"/>
    <w:rsid w:val="004C7AA4"/>
    <w:rsid w:val="004C7D8D"/>
    <w:rsid w:val="004D01B1"/>
    <w:rsid w:val="004D02FC"/>
    <w:rsid w:val="004D048E"/>
    <w:rsid w:val="004D0589"/>
    <w:rsid w:val="004D0729"/>
    <w:rsid w:val="004D1799"/>
    <w:rsid w:val="004D1E92"/>
    <w:rsid w:val="004D1F58"/>
    <w:rsid w:val="004D2A03"/>
    <w:rsid w:val="004D2DA3"/>
    <w:rsid w:val="004D3798"/>
    <w:rsid w:val="004D3839"/>
    <w:rsid w:val="004D390D"/>
    <w:rsid w:val="004D39E7"/>
    <w:rsid w:val="004D424D"/>
    <w:rsid w:val="004D44F6"/>
    <w:rsid w:val="004D514C"/>
    <w:rsid w:val="004D5725"/>
    <w:rsid w:val="004D6385"/>
    <w:rsid w:val="004D67C3"/>
    <w:rsid w:val="004D6C9B"/>
    <w:rsid w:val="004D74C9"/>
    <w:rsid w:val="004D77F5"/>
    <w:rsid w:val="004D7A05"/>
    <w:rsid w:val="004D7EFC"/>
    <w:rsid w:val="004E05C6"/>
    <w:rsid w:val="004E09DF"/>
    <w:rsid w:val="004E0B9C"/>
    <w:rsid w:val="004E2C79"/>
    <w:rsid w:val="004E2EAA"/>
    <w:rsid w:val="004E2EC7"/>
    <w:rsid w:val="004E39C0"/>
    <w:rsid w:val="004E55D4"/>
    <w:rsid w:val="004E5CF6"/>
    <w:rsid w:val="004E6453"/>
    <w:rsid w:val="004E6557"/>
    <w:rsid w:val="004E65F2"/>
    <w:rsid w:val="004E6867"/>
    <w:rsid w:val="004E68F0"/>
    <w:rsid w:val="004E727D"/>
    <w:rsid w:val="004E7675"/>
    <w:rsid w:val="004F1633"/>
    <w:rsid w:val="004F17D6"/>
    <w:rsid w:val="004F1CE1"/>
    <w:rsid w:val="004F2290"/>
    <w:rsid w:val="004F22C2"/>
    <w:rsid w:val="004F2C40"/>
    <w:rsid w:val="004F2DD9"/>
    <w:rsid w:val="004F2E83"/>
    <w:rsid w:val="004F3A8F"/>
    <w:rsid w:val="004F3F94"/>
    <w:rsid w:val="004F449E"/>
    <w:rsid w:val="004F4525"/>
    <w:rsid w:val="004F4D17"/>
    <w:rsid w:val="004F4DBF"/>
    <w:rsid w:val="004F50A0"/>
    <w:rsid w:val="004F56B9"/>
    <w:rsid w:val="004F5A17"/>
    <w:rsid w:val="004F5D07"/>
    <w:rsid w:val="004F6434"/>
    <w:rsid w:val="005007CB"/>
    <w:rsid w:val="005007E0"/>
    <w:rsid w:val="00500814"/>
    <w:rsid w:val="0050098E"/>
    <w:rsid w:val="00500B25"/>
    <w:rsid w:val="00501435"/>
    <w:rsid w:val="00501512"/>
    <w:rsid w:val="005023AA"/>
    <w:rsid w:val="005029E2"/>
    <w:rsid w:val="00502B66"/>
    <w:rsid w:val="00503397"/>
    <w:rsid w:val="0050396E"/>
    <w:rsid w:val="00503CB7"/>
    <w:rsid w:val="00503D9E"/>
    <w:rsid w:val="0050471E"/>
    <w:rsid w:val="005049DA"/>
    <w:rsid w:val="00505963"/>
    <w:rsid w:val="00505B2F"/>
    <w:rsid w:val="00505CAC"/>
    <w:rsid w:val="0050604C"/>
    <w:rsid w:val="00506D33"/>
    <w:rsid w:val="00506F17"/>
    <w:rsid w:val="0050710C"/>
    <w:rsid w:val="00507DEF"/>
    <w:rsid w:val="005108A6"/>
    <w:rsid w:val="00510A5F"/>
    <w:rsid w:val="00510E66"/>
    <w:rsid w:val="00511180"/>
    <w:rsid w:val="0051120D"/>
    <w:rsid w:val="00511661"/>
    <w:rsid w:val="0051194E"/>
    <w:rsid w:val="00511F18"/>
    <w:rsid w:val="00511F9A"/>
    <w:rsid w:val="00512121"/>
    <w:rsid w:val="0051218A"/>
    <w:rsid w:val="00512AFF"/>
    <w:rsid w:val="00513D47"/>
    <w:rsid w:val="00514655"/>
    <w:rsid w:val="00515A7F"/>
    <w:rsid w:val="0051624C"/>
    <w:rsid w:val="00516A85"/>
    <w:rsid w:val="0051791B"/>
    <w:rsid w:val="005205DA"/>
    <w:rsid w:val="00520684"/>
    <w:rsid w:val="00520AC1"/>
    <w:rsid w:val="00521735"/>
    <w:rsid w:val="00521B25"/>
    <w:rsid w:val="005220C1"/>
    <w:rsid w:val="0052248C"/>
    <w:rsid w:val="00522BE9"/>
    <w:rsid w:val="00522C87"/>
    <w:rsid w:val="005231A0"/>
    <w:rsid w:val="0052360B"/>
    <w:rsid w:val="00523A24"/>
    <w:rsid w:val="00526889"/>
    <w:rsid w:val="005268ED"/>
    <w:rsid w:val="005275FB"/>
    <w:rsid w:val="00527D68"/>
    <w:rsid w:val="00527F04"/>
    <w:rsid w:val="00530A9E"/>
    <w:rsid w:val="00530AF1"/>
    <w:rsid w:val="00530ED0"/>
    <w:rsid w:val="00531897"/>
    <w:rsid w:val="00531ABE"/>
    <w:rsid w:val="00531BF4"/>
    <w:rsid w:val="00531F3A"/>
    <w:rsid w:val="0053206B"/>
    <w:rsid w:val="005327F9"/>
    <w:rsid w:val="005328EC"/>
    <w:rsid w:val="00532F6B"/>
    <w:rsid w:val="00533465"/>
    <w:rsid w:val="00534C86"/>
    <w:rsid w:val="005352E5"/>
    <w:rsid w:val="0053632D"/>
    <w:rsid w:val="00536441"/>
    <w:rsid w:val="00536D60"/>
    <w:rsid w:val="00536EB0"/>
    <w:rsid w:val="00537D54"/>
    <w:rsid w:val="00537FC3"/>
    <w:rsid w:val="00540014"/>
    <w:rsid w:val="00540122"/>
    <w:rsid w:val="00540149"/>
    <w:rsid w:val="00540803"/>
    <w:rsid w:val="00540C30"/>
    <w:rsid w:val="005410F4"/>
    <w:rsid w:val="00541387"/>
    <w:rsid w:val="005436A5"/>
    <w:rsid w:val="00544320"/>
    <w:rsid w:val="00544582"/>
    <w:rsid w:val="005447BA"/>
    <w:rsid w:val="00544857"/>
    <w:rsid w:val="00545D44"/>
    <w:rsid w:val="00546C8B"/>
    <w:rsid w:val="00546CF3"/>
    <w:rsid w:val="00547D24"/>
    <w:rsid w:val="0055086A"/>
    <w:rsid w:val="00550EC6"/>
    <w:rsid w:val="00551293"/>
    <w:rsid w:val="005517ED"/>
    <w:rsid w:val="00551BA3"/>
    <w:rsid w:val="00551BF1"/>
    <w:rsid w:val="00551E4C"/>
    <w:rsid w:val="00551EAB"/>
    <w:rsid w:val="00551EF5"/>
    <w:rsid w:val="005537E1"/>
    <w:rsid w:val="005562E9"/>
    <w:rsid w:val="00556B17"/>
    <w:rsid w:val="0055713B"/>
    <w:rsid w:val="005575E8"/>
    <w:rsid w:val="00557811"/>
    <w:rsid w:val="00557947"/>
    <w:rsid w:val="00557E05"/>
    <w:rsid w:val="00557FC0"/>
    <w:rsid w:val="00560E8B"/>
    <w:rsid w:val="00561E73"/>
    <w:rsid w:val="0056299A"/>
    <w:rsid w:val="00562B3A"/>
    <w:rsid w:val="00562EDC"/>
    <w:rsid w:val="00563137"/>
    <w:rsid w:val="00563BFF"/>
    <w:rsid w:val="00564186"/>
    <w:rsid w:val="00564923"/>
    <w:rsid w:val="00565459"/>
    <w:rsid w:val="00565555"/>
    <w:rsid w:val="005655CA"/>
    <w:rsid w:val="00565643"/>
    <w:rsid w:val="005659B8"/>
    <w:rsid w:val="00565BA3"/>
    <w:rsid w:val="00566457"/>
    <w:rsid w:val="00567FD0"/>
    <w:rsid w:val="00570025"/>
    <w:rsid w:val="00570A38"/>
    <w:rsid w:val="00570B36"/>
    <w:rsid w:val="00570F56"/>
    <w:rsid w:val="0057152F"/>
    <w:rsid w:val="005717C5"/>
    <w:rsid w:val="00571C79"/>
    <w:rsid w:val="00571CDE"/>
    <w:rsid w:val="00571D3A"/>
    <w:rsid w:val="00571F48"/>
    <w:rsid w:val="005720CC"/>
    <w:rsid w:val="00572510"/>
    <w:rsid w:val="00574073"/>
    <w:rsid w:val="005744AF"/>
    <w:rsid w:val="00574785"/>
    <w:rsid w:val="00574807"/>
    <w:rsid w:val="00574B9C"/>
    <w:rsid w:val="005753B7"/>
    <w:rsid w:val="0057557A"/>
    <w:rsid w:val="00577063"/>
    <w:rsid w:val="00577387"/>
    <w:rsid w:val="005779CF"/>
    <w:rsid w:val="00577BB9"/>
    <w:rsid w:val="00580618"/>
    <w:rsid w:val="005808ED"/>
    <w:rsid w:val="00580DB4"/>
    <w:rsid w:val="005810BA"/>
    <w:rsid w:val="005811F7"/>
    <w:rsid w:val="0058155E"/>
    <w:rsid w:val="005819E8"/>
    <w:rsid w:val="00581B23"/>
    <w:rsid w:val="005820CB"/>
    <w:rsid w:val="00583A00"/>
    <w:rsid w:val="0058401D"/>
    <w:rsid w:val="005847CD"/>
    <w:rsid w:val="00584A3C"/>
    <w:rsid w:val="00584A5A"/>
    <w:rsid w:val="0058519A"/>
    <w:rsid w:val="005853F5"/>
    <w:rsid w:val="00585772"/>
    <w:rsid w:val="00585FA9"/>
    <w:rsid w:val="00587285"/>
    <w:rsid w:val="00590A19"/>
    <w:rsid w:val="00590BFA"/>
    <w:rsid w:val="005910F3"/>
    <w:rsid w:val="005911D5"/>
    <w:rsid w:val="0059134F"/>
    <w:rsid w:val="00591517"/>
    <w:rsid w:val="005916E1"/>
    <w:rsid w:val="00591803"/>
    <w:rsid w:val="00591936"/>
    <w:rsid w:val="00592438"/>
    <w:rsid w:val="005925DC"/>
    <w:rsid w:val="0059278E"/>
    <w:rsid w:val="00592982"/>
    <w:rsid w:val="00592DEC"/>
    <w:rsid w:val="00594B97"/>
    <w:rsid w:val="00595373"/>
    <w:rsid w:val="00595676"/>
    <w:rsid w:val="00596C47"/>
    <w:rsid w:val="00597BA6"/>
    <w:rsid w:val="00597C58"/>
    <w:rsid w:val="00597CC7"/>
    <w:rsid w:val="00597E88"/>
    <w:rsid w:val="005A012F"/>
    <w:rsid w:val="005A0791"/>
    <w:rsid w:val="005A098F"/>
    <w:rsid w:val="005A1C00"/>
    <w:rsid w:val="005A22BA"/>
    <w:rsid w:val="005A3827"/>
    <w:rsid w:val="005A3BC6"/>
    <w:rsid w:val="005A4413"/>
    <w:rsid w:val="005A4567"/>
    <w:rsid w:val="005A4861"/>
    <w:rsid w:val="005A4A54"/>
    <w:rsid w:val="005A4B3E"/>
    <w:rsid w:val="005A6892"/>
    <w:rsid w:val="005A6E43"/>
    <w:rsid w:val="005B03C5"/>
    <w:rsid w:val="005B05BB"/>
    <w:rsid w:val="005B07D9"/>
    <w:rsid w:val="005B11AF"/>
    <w:rsid w:val="005B12AA"/>
    <w:rsid w:val="005B135A"/>
    <w:rsid w:val="005B1904"/>
    <w:rsid w:val="005B1A07"/>
    <w:rsid w:val="005B2069"/>
    <w:rsid w:val="005B26B4"/>
    <w:rsid w:val="005B2B00"/>
    <w:rsid w:val="005B2D9A"/>
    <w:rsid w:val="005B3CD4"/>
    <w:rsid w:val="005B3F12"/>
    <w:rsid w:val="005B45D4"/>
    <w:rsid w:val="005B47E4"/>
    <w:rsid w:val="005B52A1"/>
    <w:rsid w:val="005B542C"/>
    <w:rsid w:val="005B55D5"/>
    <w:rsid w:val="005B5EC5"/>
    <w:rsid w:val="005B6416"/>
    <w:rsid w:val="005B645E"/>
    <w:rsid w:val="005B7914"/>
    <w:rsid w:val="005B797B"/>
    <w:rsid w:val="005B7FEF"/>
    <w:rsid w:val="005C101A"/>
    <w:rsid w:val="005C23E7"/>
    <w:rsid w:val="005C342E"/>
    <w:rsid w:val="005C3C65"/>
    <w:rsid w:val="005C3F05"/>
    <w:rsid w:val="005C3FAB"/>
    <w:rsid w:val="005C4574"/>
    <w:rsid w:val="005C49B3"/>
    <w:rsid w:val="005C53ED"/>
    <w:rsid w:val="005C5C61"/>
    <w:rsid w:val="005C5E5D"/>
    <w:rsid w:val="005C62B0"/>
    <w:rsid w:val="005C682B"/>
    <w:rsid w:val="005C70F2"/>
    <w:rsid w:val="005C7738"/>
    <w:rsid w:val="005D00F6"/>
    <w:rsid w:val="005D1CC5"/>
    <w:rsid w:val="005D2850"/>
    <w:rsid w:val="005D313F"/>
    <w:rsid w:val="005D317C"/>
    <w:rsid w:val="005D364E"/>
    <w:rsid w:val="005D3D0E"/>
    <w:rsid w:val="005D3F5C"/>
    <w:rsid w:val="005D5C8E"/>
    <w:rsid w:val="005D616E"/>
    <w:rsid w:val="005D67BE"/>
    <w:rsid w:val="005D7518"/>
    <w:rsid w:val="005E0CF6"/>
    <w:rsid w:val="005E0EAA"/>
    <w:rsid w:val="005E1A8B"/>
    <w:rsid w:val="005E1ED6"/>
    <w:rsid w:val="005E236A"/>
    <w:rsid w:val="005E2694"/>
    <w:rsid w:val="005E29E4"/>
    <w:rsid w:val="005E2B9C"/>
    <w:rsid w:val="005E35BC"/>
    <w:rsid w:val="005E37D9"/>
    <w:rsid w:val="005E4728"/>
    <w:rsid w:val="005E4DB1"/>
    <w:rsid w:val="005E54BF"/>
    <w:rsid w:val="005E5857"/>
    <w:rsid w:val="005E69BE"/>
    <w:rsid w:val="005E76D6"/>
    <w:rsid w:val="005E78ED"/>
    <w:rsid w:val="005E7EF2"/>
    <w:rsid w:val="005F0AAC"/>
    <w:rsid w:val="005F175A"/>
    <w:rsid w:val="005F17B6"/>
    <w:rsid w:val="005F1A94"/>
    <w:rsid w:val="005F3097"/>
    <w:rsid w:val="005F3B8F"/>
    <w:rsid w:val="005F4497"/>
    <w:rsid w:val="005F4BD6"/>
    <w:rsid w:val="005F54F7"/>
    <w:rsid w:val="005F5914"/>
    <w:rsid w:val="005F6817"/>
    <w:rsid w:val="005F6B2A"/>
    <w:rsid w:val="005F6B4C"/>
    <w:rsid w:val="00600F33"/>
    <w:rsid w:val="006027E7"/>
    <w:rsid w:val="006028E8"/>
    <w:rsid w:val="00602A92"/>
    <w:rsid w:val="00603614"/>
    <w:rsid w:val="00603CA3"/>
    <w:rsid w:val="00604065"/>
    <w:rsid w:val="006046E9"/>
    <w:rsid w:val="00604841"/>
    <w:rsid w:val="00604C2C"/>
    <w:rsid w:val="00605DFF"/>
    <w:rsid w:val="0060664E"/>
    <w:rsid w:val="006069D8"/>
    <w:rsid w:val="00606E42"/>
    <w:rsid w:val="00607004"/>
    <w:rsid w:val="00607F68"/>
    <w:rsid w:val="006101FB"/>
    <w:rsid w:val="006105BB"/>
    <w:rsid w:val="00610A6C"/>
    <w:rsid w:val="00610BE2"/>
    <w:rsid w:val="00610DBA"/>
    <w:rsid w:val="006117AB"/>
    <w:rsid w:val="00611DC1"/>
    <w:rsid w:val="006122A4"/>
    <w:rsid w:val="0061233B"/>
    <w:rsid w:val="00614908"/>
    <w:rsid w:val="00614C8C"/>
    <w:rsid w:val="00614CD0"/>
    <w:rsid w:val="00615119"/>
    <w:rsid w:val="006151C3"/>
    <w:rsid w:val="006152EB"/>
    <w:rsid w:val="0061563E"/>
    <w:rsid w:val="006156B1"/>
    <w:rsid w:val="00615B39"/>
    <w:rsid w:val="006169C4"/>
    <w:rsid w:val="00617466"/>
    <w:rsid w:val="00617686"/>
    <w:rsid w:val="00617AEE"/>
    <w:rsid w:val="00617CB4"/>
    <w:rsid w:val="0062019A"/>
    <w:rsid w:val="006201D2"/>
    <w:rsid w:val="00620CE3"/>
    <w:rsid w:val="00621902"/>
    <w:rsid w:val="006220B6"/>
    <w:rsid w:val="00622963"/>
    <w:rsid w:val="00622BC9"/>
    <w:rsid w:val="00622F74"/>
    <w:rsid w:val="006230FE"/>
    <w:rsid w:val="00623252"/>
    <w:rsid w:val="006233C2"/>
    <w:rsid w:val="0062373C"/>
    <w:rsid w:val="00623AFB"/>
    <w:rsid w:val="006243F8"/>
    <w:rsid w:val="006247D3"/>
    <w:rsid w:val="00624CB9"/>
    <w:rsid w:val="00624CE5"/>
    <w:rsid w:val="006256E5"/>
    <w:rsid w:val="00625BA8"/>
    <w:rsid w:val="00626048"/>
    <w:rsid w:val="00626703"/>
    <w:rsid w:val="00626780"/>
    <w:rsid w:val="006267F2"/>
    <w:rsid w:val="0062683A"/>
    <w:rsid w:val="006271DB"/>
    <w:rsid w:val="006272B3"/>
    <w:rsid w:val="00627E81"/>
    <w:rsid w:val="00627F62"/>
    <w:rsid w:val="006304CC"/>
    <w:rsid w:val="00630C78"/>
    <w:rsid w:val="00630CA3"/>
    <w:rsid w:val="00630CC0"/>
    <w:rsid w:val="006321DE"/>
    <w:rsid w:val="00632E49"/>
    <w:rsid w:val="006330CC"/>
    <w:rsid w:val="00633D16"/>
    <w:rsid w:val="00633EF2"/>
    <w:rsid w:val="00634A18"/>
    <w:rsid w:val="00634BA1"/>
    <w:rsid w:val="0063558E"/>
    <w:rsid w:val="006360EB"/>
    <w:rsid w:val="006363F5"/>
    <w:rsid w:val="006372BF"/>
    <w:rsid w:val="00637827"/>
    <w:rsid w:val="0064007D"/>
    <w:rsid w:val="00640750"/>
    <w:rsid w:val="00640982"/>
    <w:rsid w:val="00640E7C"/>
    <w:rsid w:val="006415AD"/>
    <w:rsid w:val="006425BB"/>
    <w:rsid w:val="00642A4D"/>
    <w:rsid w:val="00642BEF"/>
    <w:rsid w:val="006449A3"/>
    <w:rsid w:val="00645112"/>
    <w:rsid w:val="0064518F"/>
    <w:rsid w:val="0064569F"/>
    <w:rsid w:val="006462EA"/>
    <w:rsid w:val="00646827"/>
    <w:rsid w:val="00646BEC"/>
    <w:rsid w:val="006474A7"/>
    <w:rsid w:val="00647683"/>
    <w:rsid w:val="00647F25"/>
    <w:rsid w:val="006504D9"/>
    <w:rsid w:val="00650B96"/>
    <w:rsid w:val="00650E36"/>
    <w:rsid w:val="00651760"/>
    <w:rsid w:val="00652572"/>
    <w:rsid w:val="006526B2"/>
    <w:rsid w:val="006528A2"/>
    <w:rsid w:val="006528C0"/>
    <w:rsid w:val="006539F8"/>
    <w:rsid w:val="0065456C"/>
    <w:rsid w:val="00654B0E"/>
    <w:rsid w:val="00655068"/>
    <w:rsid w:val="006550A0"/>
    <w:rsid w:val="006551B4"/>
    <w:rsid w:val="00655F02"/>
    <w:rsid w:val="00656A24"/>
    <w:rsid w:val="00656B11"/>
    <w:rsid w:val="0065704A"/>
    <w:rsid w:val="0065760E"/>
    <w:rsid w:val="00660BA5"/>
    <w:rsid w:val="00661FB2"/>
    <w:rsid w:val="006637B3"/>
    <w:rsid w:val="00663A4E"/>
    <w:rsid w:val="00663C99"/>
    <w:rsid w:val="0066409D"/>
    <w:rsid w:val="006640A5"/>
    <w:rsid w:val="0066421F"/>
    <w:rsid w:val="0066426D"/>
    <w:rsid w:val="00664954"/>
    <w:rsid w:val="00664AEB"/>
    <w:rsid w:val="0066681B"/>
    <w:rsid w:val="00667B64"/>
    <w:rsid w:val="0067036F"/>
    <w:rsid w:val="006705C3"/>
    <w:rsid w:val="00670B37"/>
    <w:rsid w:val="00670D42"/>
    <w:rsid w:val="00671CBE"/>
    <w:rsid w:val="00671EE9"/>
    <w:rsid w:val="00671F85"/>
    <w:rsid w:val="0067230C"/>
    <w:rsid w:val="00672A3E"/>
    <w:rsid w:val="00673590"/>
    <w:rsid w:val="00674182"/>
    <w:rsid w:val="006742ED"/>
    <w:rsid w:val="00674469"/>
    <w:rsid w:val="00674F3F"/>
    <w:rsid w:val="0067509B"/>
    <w:rsid w:val="006769AE"/>
    <w:rsid w:val="00677716"/>
    <w:rsid w:val="0067774C"/>
    <w:rsid w:val="006779DF"/>
    <w:rsid w:val="00677E2E"/>
    <w:rsid w:val="00677EC8"/>
    <w:rsid w:val="00680019"/>
    <w:rsid w:val="00680848"/>
    <w:rsid w:val="006813BA"/>
    <w:rsid w:val="006823DD"/>
    <w:rsid w:val="006823F6"/>
    <w:rsid w:val="00682C40"/>
    <w:rsid w:val="00683B46"/>
    <w:rsid w:val="00683FEC"/>
    <w:rsid w:val="00685430"/>
    <w:rsid w:val="006858D4"/>
    <w:rsid w:val="0068594E"/>
    <w:rsid w:val="006863EC"/>
    <w:rsid w:val="00686420"/>
    <w:rsid w:val="0068713A"/>
    <w:rsid w:val="0068733F"/>
    <w:rsid w:val="00687572"/>
    <w:rsid w:val="00687AC4"/>
    <w:rsid w:val="00690322"/>
    <w:rsid w:val="00690B6F"/>
    <w:rsid w:val="006917A4"/>
    <w:rsid w:val="00691E8A"/>
    <w:rsid w:val="00692118"/>
    <w:rsid w:val="00692FE7"/>
    <w:rsid w:val="00693A08"/>
    <w:rsid w:val="00693D31"/>
    <w:rsid w:val="00693D85"/>
    <w:rsid w:val="00693F06"/>
    <w:rsid w:val="00693F8A"/>
    <w:rsid w:val="00694703"/>
    <w:rsid w:val="00695483"/>
    <w:rsid w:val="00695859"/>
    <w:rsid w:val="006958BF"/>
    <w:rsid w:val="00695BDB"/>
    <w:rsid w:val="00695D94"/>
    <w:rsid w:val="00695F3D"/>
    <w:rsid w:val="00696158"/>
    <w:rsid w:val="0069646C"/>
    <w:rsid w:val="00696511"/>
    <w:rsid w:val="006966AF"/>
    <w:rsid w:val="00696792"/>
    <w:rsid w:val="00697285"/>
    <w:rsid w:val="006972C8"/>
    <w:rsid w:val="006977C0"/>
    <w:rsid w:val="00697A6E"/>
    <w:rsid w:val="006A041E"/>
    <w:rsid w:val="006A07C2"/>
    <w:rsid w:val="006A0970"/>
    <w:rsid w:val="006A09F6"/>
    <w:rsid w:val="006A0B26"/>
    <w:rsid w:val="006A0E00"/>
    <w:rsid w:val="006A112D"/>
    <w:rsid w:val="006A16C9"/>
    <w:rsid w:val="006A1A10"/>
    <w:rsid w:val="006A2497"/>
    <w:rsid w:val="006A29B1"/>
    <w:rsid w:val="006A2CF0"/>
    <w:rsid w:val="006A3146"/>
    <w:rsid w:val="006A3945"/>
    <w:rsid w:val="006A4376"/>
    <w:rsid w:val="006A443F"/>
    <w:rsid w:val="006A47F9"/>
    <w:rsid w:val="006A4832"/>
    <w:rsid w:val="006A4CDF"/>
    <w:rsid w:val="006A56FE"/>
    <w:rsid w:val="006A584D"/>
    <w:rsid w:val="006A5C28"/>
    <w:rsid w:val="006A60AE"/>
    <w:rsid w:val="006A6212"/>
    <w:rsid w:val="006A623A"/>
    <w:rsid w:val="006A6913"/>
    <w:rsid w:val="006A774E"/>
    <w:rsid w:val="006A7C46"/>
    <w:rsid w:val="006B0C9B"/>
    <w:rsid w:val="006B18F3"/>
    <w:rsid w:val="006B1B8B"/>
    <w:rsid w:val="006B2262"/>
    <w:rsid w:val="006B2697"/>
    <w:rsid w:val="006B3971"/>
    <w:rsid w:val="006B39C5"/>
    <w:rsid w:val="006B3BC2"/>
    <w:rsid w:val="006B4292"/>
    <w:rsid w:val="006B42C7"/>
    <w:rsid w:val="006B48AD"/>
    <w:rsid w:val="006B4943"/>
    <w:rsid w:val="006B625C"/>
    <w:rsid w:val="006B6F62"/>
    <w:rsid w:val="006B6F85"/>
    <w:rsid w:val="006B711E"/>
    <w:rsid w:val="006B75D2"/>
    <w:rsid w:val="006B76F6"/>
    <w:rsid w:val="006B780C"/>
    <w:rsid w:val="006B7860"/>
    <w:rsid w:val="006C0533"/>
    <w:rsid w:val="006C146F"/>
    <w:rsid w:val="006C1E01"/>
    <w:rsid w:val="006C21FE"/>
    <w:rsid w:val="006C27EF"/>
    <w:rsid w:val="006C283E"/>
    <w:rsid w:val="006C310D"/>
    <w:rsid w:val="006C35B3"/>
    <w:rsid w:val="006C38B3"/>
    <w:rsid w:val="006C3E3B"/>
    <w:rsid w:val="006C4171"/>
    <w:rsid w:val="006C43B7"/>
    <w:rsid w:val="006C47B0"/>
    <w:rsid w:val="006C4B20"/>
    <w:rsid w:val="006C5982"/>
    <w:rsid w:val="006C6490"/>
    <w:rsid w:val="006C65D7"/>
    <w:rsid w:val="006C6B1C"/>
    <w:rsid w:val="006C7105"/>
    <w:rsid w:val="006C762A"/>
    <w:rsid w:val="006C7B8F"/>
    <w:rsid w:val="006C7C28"/>
    <w:rsid w:val="006D00F0"/>
    <w:rsid w:val="006D023A"/>
    <w:rsid w:val="006D0716"/>
    <w:rsid w:val="006D0F5F"/>
    <w:rsid w:val="006D11C0"/>
    <w:rsid w:val="006D16FA"/>
    <w:rsid w:val="006D183C"/>
    <w:rsid w:val="006D1A47"/>
    <w:rsid w:val="006D1E18"/>
    <w:rsid w:val="006D1FA3"/>
    <w:rsid w:val="006D202C"/>
    <w:rsid w:val="006D2514"/>
    <w:rsid w:val="006D2AE3"/>
    <w:rsid w:val="006D2BE1"/>
    <w:rsid w:val="006D2D88"/>
    <w:rsid w:val="006D3B76"/>
    <w:rsid w:val="006D3F73"/>
    <w:rsid w:val="006D40AD"/>
    <w:rsid w:val="006D4588"/>
    <w:rsid w:val="006D45AD"/>
    <w:rsid w:val="006D4760"/>
    <w:rsid w:val="006D4EDE"/>
    <w:rsid w:val="006D4EEF"/>
    <w:rsid w:val="006D4F46"/>
    <w:rsid w:val="006D569B"/>
    <w:rsid w:val="006D5734"/>
    <w:rsid w:val="006D613D"/>
    <w:rsid w:val="006D69DD"/>
    <w:rsid w:val="006D72E5"/>
    <w:rsid w:val="006E005C"/>
    <w:rsid w:val="006E0229"/>
    <w:rsid w:val="006E057F"/>
    <w:rsid w:val="006E077D"/>
    <w:rsid w:val="006E0D72"/>
    <w:rsid w:val="006E1B7C"/>
    <w:rsid w:val="006E2517"/>
    <w:rsid w:val="006E2518"/>
    <w:rsid w:val="006E2B6B"/>
    <w:rsid w:val="006E2D10"/>
    <w:rsid w:val="006E33D4"/>
    <w:rsid w:val="006E3527"/>
    <w:rsid w:val="006E3528"/>
    <w:rsid w:val="006E438C"/>
    <w:rsid w:val="006E52B9"/>
    <w:rsid w:val="006E52FA"/>
    <w:rsid w:val="006E5C70"/>
    <w:rsid w:val="006E5E44"/>
    <w:rsid w:val="006E6A39"/>
    <w:rsid w:val="006E6A47"/>
    <w:rsid w:val="006E6D66"/>
    <w:rsid w:val="006E6FE4"/>
    <w:rsid w:val="006E70AD"/>
    <w:rsid w:val="006E7C4C"/>
    <w:rsid w:val="006E7C96"/>
    <w:rsid w:val="006F0141"/>
    <w:rsid w:val="006F080C"/>
    <w:rsid w:val="006F08C6"/>
    <w:rsid w:val="006F0DF6"/>
    <w:rsid w:val="006F0ECE"/>
    <w:rsid w:val="006F1948"/>
    <w:rsid w:val="006F1B94"/>
    <w:rsid w:val="006F1CA7"/>
    <w:rsid w:val="006F2567"/>
    <w:rsid w:val="006F505A"/>
    <w:rsid w:val="006F51A1"/>
    <w:rsid w:val="006F5A26"/>
    <w:rsid w:val="006F5A64"/>
    <w:rsid w:val="006F5AED"/>
    <w:rsid w:val="006F5CEE"/>
    <w:rsid w:val="006F6FD7"/>
    <w:rsid w:val="006F77E3"/>
    <w:rsid w:val="006F7D61"/>
    <w:rsid w:val="00701589"/>
    <w:rsid w:val="007018CD"/>
    <w:rsid w:val="00701C90"/>
    <w:rsid w:val="00701CD0"/>
    <w:rsid w:val="00701E11"/>
    <w:rsid w:val="00702397"/>
    <w:rsid w:val="007024EA"/>
    <w:rsid w:val="00702706"/>
    <w:rsid w:val="0070313F"/>
    <w:rsid w:val="00703547"/>
    <w:rsid w:val="007035E3"/>
    <w:rsid w:val="007042D9"/>
    <w:rsid w:val="0070459A"/>
    <w:rsid w:val="00705190"/>
    <w:rsid w:val="00705812"/>
    <w:rsid w:val="00705A10"/>
    <w:rsid w:val="00706313"/>
    <w:rsid w:val="00706DB3"/>
    <w:rsid w:val="00706E30"/>
    <w:rsid w:val="00707222"/>
    <w:rsid w:val="0070766A"/>
    <w:rsid w:val="007077F3"/>
    <w:rsid w:val="00707A30"/>
    <w:rsid w:val="0071010E"/>
    <w:rsid w:val="00710385"/>
    <w:rsid w:val="007103AB"/>
    <w:rsid w:val="00710418"/>
    <w:rsid w:val="007107C0"/>
    <w:rsid w:val="00710BEF"/>
    <w:rsid w:val="00710F0D"/>
    <w:rsid w:val="00711619"/>
    <w:rsid w:val="00711ACB"/>
    <w:rsid w:val="00712561"/>
    <w:rsid w:val="00712772"/>
    <w:rsid w:val="00712964"/>
    <w:rsid w:val="00713095"/>
    <w:rsid w:val="00713EDC"/>
    <w:rsid w:val="00715284"/>
    <w:rsid w:val="00715A52"/>
    <w:rsid w:val="00715C41"/>
    <w:rsid w:val="00716334"/>
    <w:rsid w:val="00717363"/>
    <w:rsid w:val="0071777E"/>
    <w:rsid w:val="0072065F"/>
    <w:rsid w:val="00720978"/>
    <w:rsid w:val="00720D16"/>
    <w:rsid w:val="007218D4"/>
    <w:rsid w:val="00721F19"/>
    <w:rsid w:val="007226FB"/>
    <w:rsid w:val="00723702"/>
    <w:rsid w:val="00723A56"/>
    <w:rsid w:val="007247F9"/>
    <w:rsid w:val="00724BE8"/>
    <w:rsid w:val="007252B7"/>
    <w:rsid w:val="0072536B"/>
    <w:rsid w:val="00725428"/>
    <w:rsid w:val="00725574"/>
    <w:rsid w:val="00725E57"/>
    <w:rsid w:val="00726233"/>
    <w:rsid w:val="00726A0B"/>
    <w:rsid w:val="00726AFD"/>
    <w:rsid w:val="0073000B"/>
    <w:rsid w:val="007302ED"/>
    <w:rsid w:val="00730DEB"/>
    <w:rsid w:val="007317AC"/>
    <w:rsid w:val="00731E45"/>
    <w:rsid w:val="00733390"/>
    <w:rsid w:val="007337C3"/>
    <w:rsid w:val="00733A85"/>
    <w:rsid w:val="00733FF5"/>
    <w:rsid w:val="00734678"/>
    <w:rsid w:val="00734955"/>
    <w:rsid w:val="00734B26"/>
    <w:rsid w:val="00734B31"/>
    <w:rsid w:val="00735409"/>
    <w:rsid w:val="007355E4"/>
    <w:rsid w:val="00736564"/>
    <w:rsid w:val="0073789C"/>
    <w:rsid w:val="007378F0"/>
    <w:rsid w:val="00737948"/>
    <w:rsid w:val="007401F0"/>
    <w:rsid w:val="007403D3"/>
    <w:rsid w:val="0074096B"/>
    <w:rsid w:val="0074131C"/>
    <w:rsid w:val="00741450"/>
    <w:rsid w:val="0074188A"/>
    <w:rsid w:val="00742826"/>
    <w:rsid w:val="0074317B"/>
    <w:rsid w:val="007432DA"/>
    <w:rsid w:val="0074336C"/>
    <w:rsid w:val="007439FE"/>
    <w:rsid w:val="0074438B"/>
    <w:rsid w:val="0074564C"/>
    <w:rsid w:val="00745998"/>
    <w:rsid w:val="0074674A"/>
    <w:rsid w:val="0074748D"/>
    <w:rsid w:val="007506C7"/>
    <w:rsid w:val="00750AD1"/>
    <w:rsid w:val="00750EEC"/>
    <w:rsid w:val="00750FDF"/>
    <w:rsid w:val="00750FF9"/>
    <w:rsid w:val="0075158E"/>
    <w:rsid w:val="00751680"/>
    <w:rsid w:val="00751A72"/>
    <w:rsid w:val="00751AD6"/>
    <w:rsid w:val="00751F4E"/>
    <w:rsid w:val="00752C81"/>
    <w:rsid w:val="00753273"/>
    <w:rsid w:val="007532BF"/>
    <w:rsid w:val="007534BD"/>
    <w:rsid w:val="00753A98"/>
    <w:rsid w:val="00755B4F"/>
    <w:rsid w:val="00755C74"/>
    <w:rsid w:val="00755DAA"/>
    <w:rsid w:val="00756B5F"/>
    <w:rsid w:val="007570AF"/>
    <w:rsid w:val="007572F9"/>
    <w:rsid w:val="00757491"/>
    <w:rsid w:val="00757561"/>
    <w:rsid w:val="007576C3"/>
    <w:rsid w:val="00757D47"/>
    <w:rsid w:val="007606C7"/>
    <w:rsid w:val="0076086E"/>
    <w:rsid w:val="00760C0A"/>
    <w:rsid w:val="007613B0"/>
    <w:rsid w:val="0076179E"/>
    <w:rsid w:val="007619EB"/>
    <w:rsid w:val="00761BB7"/>
    <w:rsid w:val="0076314B"/>
    <w:rsid w:val="00763D5A"/>
    <w:rsid w:val="00763F92"/>
    <w:rsid w:val="00764564"/>
    <w:rsid w:val="00764F02"/>
    <w:rsid w:val="00765F89"/>
    <w:rsid w:val="007673A6"/>
    <w:rsid w:val="007673D9"/>
    <w:rsid w:val="007706E8"/>
    <w:rsid w:val="00770A60"/>
    <w:rsid w:val="00770ACA"/>
    <w:rsid w:val="00770ED6"/>
    <w:rsid w:val="00771457"/>
    <w:rsid w:val="00771836"/>
    <w:rsid w:val="007724F5"/>
    <w:rsid w:val="0077383B"/>
    <w:rsid w:val="00773A75"/>
    <w:rsid w:val="0077496E"/>
    <w:rsid w:val="00775558"/>
    <w:rsid w:val="00775EF0"/>
    <w:rsid w:val="00775FDF"/>
    <w:rsid w:val="007760A9"/>
    <w:rsid w:val="0077627D"/>
    <w:rsid w:val="00776377"/>
    <w:rsid w:val="007763E8"/>
    <w:rsid w:val="0077730A"/>
    <w:rsid w:val="0078074D"/>
    <w:rsid w:val="00780899"/>
    <w:rsid w:val="00780BB8"/>
    <w:rsid w:val="00780F14"/>
    <w:rsid w:val="00780F90"/>
    <w:rsid w:val="00782A80"/>
    <w:rsid w:val="00782AD4"/>
    <w:rsid w:val="00782FE2"/>
    <w:rsid w:val="00783973"/>
    <w:rsid w:val="0078448B"/>
    <w:rsid w:val="00784585"/>
    <w:rsid w:val="007845EA"/>
    <w:rsid w:val="00785120"/>
    <w:rsid w:val="007853FB"/>
    <w:rsid w:val="0078549B"/>
    <w:rsid w:val="007865D5"/>
    <w:rsid w:val="00786BC2"/>
    <w:rsid w:val="00786CEA"/>
    <w:rsid w:val="00787164"/>
    <w:rsid w:val="0078779E"/>
    <w:rsid w:val="00787C5D"/>
    <w:rsid w:val="00790020"/>
    <w:rsid w:val="007904EB"/>
    <w:rsid w:val="00790C6F"/>
    <w:rsid w:val="00791110"/>
    <w:rsid w:val="007919D4"/>
    <w:rsid w:val="00791BA0"/>
    <w:rsid w:val="00791D29"/>
    <w:rsid w:val="0079279E"/>
    <w:rsid w:val="00793531"/>
    <w:rsid w:val="007943B7"/>
    <w:rsid w:val="007947A6"/>
    <w:rsid w:val="00794EB9"/>
    <w:rsid w:val="00795AB3"/>
    <w:rsid w:val="00795AB4"/>
    <w:rsid w:val="00795B77"/>
    <w:rsid w:val="00796F26"/>
    <w:rsid w:val="00796FBF"/>
    <w:rsid w:val="007973E5"/>
    <w:rsid w:val="007978B7"/>
    <w:rsid w:val="007978D5"/>
    <w:rsid w:val="007978D7"/>
    <w:rsid w:val="007A03CB"/>
    <w:rsid w:val="007A0727"/>
    <w:rsid w:val="007A1B15"/>
    <w:rsid w:val="007A1EED"/>
    <w:rsid w:val="007A227C"/>
    <w:rsid w:val="007A3088"/>
    <w:rsid w:val="007A33EE"/>
    <w:rsid w:val="007A4793"/>
    <w:rsid w:val="007A4F28"/>
    <w:rsid w:val="007A5C88"/>
    <w:rsid w:val="007A743E"/>
    <w:rsid w:val="007A7C7C"/>
    <w:rsid w:val="007B059D"/>
    <w:rsid w:val="007B0648"/>
    <w:rsid w:val="007B087B"/>
    <w:rsid w:val="007B0BBD"/>
    <w:rsid w:val="007B1282"/>
    <w:rsid w:val="007B1EA7"/>
    <w:rsid w:val="007B2565"/>
    <w:rsid w:val="007B281B"/>
    <w:rsid w:val="007B2B10"/>
    <w:rsid w:val="007B309C"/>
    <w:rsid w:val="007B3C78"/>
    <w:rsid w:val="007B4188"/>
    <w:rsid w:val="007B5428"/>
    <w:rsid w:val="007B5809"/>
    <w:rsid w:val="007B5970"/>
    <w:rsid w:val="007B62ED"/>
    <w:rsid w:val="007B63BD"/>
    <w:rsid w:val="007B646E"/>
    <w:rsid w:val="007B647E"/>
    <w:rsid w:val="007B68B2"/>
    <w:rsid w:val="007B6D59"/>
    <w:rsid w:val="007B70BE"/>
    <w:rsid w:val="007B7195"/>
    <w:rsid w:val="007B72F2"/>
    <w:rsid w:val="007B74EC"/>
    <w:rsid w:val="007C1CAF"/>
    <w:rsid w:val="007C1E57"/>
    <w:rsid w:val="007C219B"/>
    <w:rsid w:val="007C23EE"/>
    <w:rsid w:val="007C285A"/>
    <w:rsid w:val="007C286A"/>
    <w:rsid w:val="007C33F1"/>
    <w:rsid w:val="007C3528"/>
    <w:rsid w:val="007C36F9"/>
    <w:rsid w:val="007C4452"/>
    <w:rsid w:val="007C4A8B"/>
    <w:rsid w:val="007C4E88"/>
    <w:rsid w:val="007C5269"/>
    <w:rsid w:val="007C5CF2"/>
    <w:rsid w:val="007C5FB8"/>
    <w:rsid w:val="007C6163"/>
    <w:rsid w:val="007C6D4D"/>
    <w:rsid w:val="007C7AF8"/>
    <w:rsid w:val="007C7CE7"/>
    <w:rsid w:val="007D09E5"/>
    <w:rsid w:val="007D0DCE"/>
    <w:rsid w:val="007D1DF8"/>
    <w:rsid w:val="007D220C"/>
    <w:rsid w:val="007D30B8"/>
    <w:rsid w:val="007D334B"/>
    <w:rsid w:val="007D396D"/>
    <w:rsid w:val="007D3F6F"/>
    <w:rsid w:val="007D3FCC"/>
    <w:rsid w:val="007D4628"/>
    <w:rsid w:val="007D4EF6"/>
    <w:rsid w:val="007D5162"/>
    <w:rsid w:val="007D616D"/>
    <w:rsid w:val="007D62CD"/>
    <w:rsid w:val="007D6A33"/>
    <w:rsid w:val="007D6C71"/>
    <w:rsid w:val="007D6E22"/>
    <w:rsid w:val="007D7560"/>
    <w:rsid w:val="007D76CF"/>
    <w:rsid w:val="007D7875"/>
    <w:rsid w:val="007D78E5"/>
    <w:rsid w:val="007D7EE8"/>
    <w:rsid w:val="007E002F"/>
    <w:rsid w:val="007E0D36"/>
    <w:rsid w:val="007E0F1A"/>
    <w:rsid w:val="007E1323"/>
    <w:rsid w:val="007E1489"/>
    <w:rsid w:val="007E1878"/>
    <w:rsid w:val="007E294F"/>
    <w:rsid w:val="007E2DF8"/>
    <w:rsid w:val="007E3F5A"/>
    <w:rsid w:val="007E4A05"/>
    <w:rsid w:val="007E5AB6"/>
    <w:rsid w:val="007E6938"/>
    <w:rsid w:val="007E741A"/>
    <w:rsid w:val="007F092D"/>
    <w:rsid w:val="007F15D7"/>
    <w:rsid w:val="007F1C00"/>
    <w:rsid w:val="007F2BE6"/>
    <w:rsid w:val="007F2CE5"/>
    <w:rsid w:val="007F2E29"/>
    <w:rsid w:val="007F36DB"/>
    <w:rsid w:val="007F37CB"/>
    <w:rsid w:val="007F3E69"/>
    <w:rsid w:val="007F43AB"/>
    <w:rsid w:val="007F4852"/>
    <w:rsid w:val="007F5841"/>
    <w:rsid w:val="007F5844"/>
    <w:rsid w:val="007F592C"/>
    <w:rsid w:val="007F5EDF"/>
    <w:rsid w:val="007F66E3"/>
    <w:rsid w:val="007F6763"/>
    <w:rsid w:val="007F676A"/>
    <w:rsid w:val="007F6943"/>
    <w:rsid w:val="007F6A5D"/>
    <w:rsid w:val="007F6C36"/>
    <w:rsid w:val="007F72E2"/>
    <w:rsid w:val="007F7799"/>
    <w:rsid w:val="007F7AE1"/>
    <w:rsid w:val="007F7CB9"/>
    <w:rsid w:val="008005B0"/>
    <w:rsid w:val="00800A83"/>
    <w:rsid w:val="00800EF8"/>
    <w:rsid w:val="00800FFB"/>
    <w:rsid w:val="0080169C"/>
    <w:rsid w:val="008024C2"/>
    <w:rsid w:val="00802D6E"/>
    <w:rsid w:val="00803886"/>
    <w:rsid w:val="00803983"/>
    <w:rsid w:val="00803EF1"/>
    <w:rsid w:val="0080417F"/>
    <w:rsid w:val="00804658"/>
    <w:rsid w:val="00804B39"/>
    <w:rsid w:val="00804CDB"/>
    <w:rsid w:val="00804DAB"/>
    <w:rsid w:val="008061D3"/>
    <w:rsid w:val="008065FB"/>
    <w:rsid w:val="00806B23"/>
    <w:rsid w:val="00806B58"/>
    <w:rsid w:val="00807D23"/>
    <w:rsid w:val="008103E0"/>
    <w:rsid w:val="0081197A"/>
    <w:rsid w:val="008127C7"/>
    <w:rsid w:val="00812B90"/>
    <w:rsid w:val="00813182"/>
    <w:rsid w:val="008131C9"/>
    <w:rsid w:val="00813994"/>
    <w:rsid w:val="00814C97"/>
    <w:rsid w:val="00814D9A"/>
    <w:rsid w:val="00814E79"/>
    <w:rsid w:val="008156FC"/>
    <w:rsid w:val="00815B6B"/>
    <w:rsid w:val="00816A70"/>
    <w:rsid w:val="008179D6"/>
    <w:rsid w:val="00817E41"/>
    <w:rsid w:val="008208A5"/>
    <w:rsid w:val="00820F3A"/>
    <w:rsid w:val="00821366"/>
    <w:rsid w:val="008218F9"/>
    <w:rsid w:val="00821D3D"/>
    <w:rsid w:val="00822C05"/>
    <w:rsid w:val="00822EFA"/>
    <w:rsid w:val="008231F6"/>
    <w:rsid w:val="008237D8"/>
    <w:rsid w:val="00823F49"/>
    <w:rsid w:val="00824A15"/>
    <w:rsid w:val="0082504B"/>
    <w:rsid w:val="00825B6F"/>
    <w:rsid w:val="00826863"/>
    <w:rsid w:val="00826B4B"/>
    <w:rsid w:val="008273B5"/>
    <w:rsid w:val="008308FC"/>
    <w:rsid w:val="00830920"/>
    <w:rsid w:val="00830C51"/>
    <w:rsid w:val="00830E4F"/>
    <w:rsid w:val="008313C2"/>
    <w:rsid w:val="00831AB4"/>
    <w:rsid w:val="0083240C"/>
    <w:rsid w:val="00832B1D"/>
    <w:rsid w:val="00833169"/>
    <w:rsid w:val="00833174"/>
    <w:rsid w:val="00833304"/>
    <w:rsid w:val="00833B89"/>
    <w:rsid w:val="00833D4C"/>
    <w:rsid w:val="00834161"/>
    <w:rsid w:val="0083458E"/>
    <w:rsid w:val="008346A2"/>
    <w:rsid w:val="00834D73"/>
    <w:rsid w:val="00835165"/>
    <w:rsid w:val="008351B9"/>
    <w:rsid w:val="00835419"/>
    <w:rsid w:val="00835514"/>
    <w:rsid w:val="0083570C"/>
    <w:rsid w:val="008358D5"/>
    <w:rsid w:val="00835961"/>
    <w:rsid w:val="00835977"/>
    <w:rsid w:val="008362FF"/>
    <w:rsid w:val="008363C1"/>
    <w:rsid w:val="008367E7"/>
    <w:rsid w:val="00837FFD"/>
    <w:rsid w:val="008401A2"/>
    <w:rsid w:val="00840300"/>
    <w:rsid w:val="008403C7"/>
    <w:rsid w:val="00840FE1"/>
    <w:rsid w:val="0084115C"/>
    <w:rsid w:val="008418D4"/>
    <w:rsid w:val="008425D9"/>
    <w:rsid w:val="0084261B"/>
    <w:rsid w:val="0084287A"/>
    <w:rsid w:val="00842DEF"/>
    <w:rsid w:val="0084335A"/>
    <w:rsid w:val="0084484A"/>
    <w:rsid w:val="0084503B"/>
    <w:rsid w:val="008450F7"/>
    <w:rsid w:val="00845475"/>
    <w:rsid w:val="00845EEC"/>
    <w:rsid w:val="0084668A"/>
    <w:rsid w:val="00847625"/>
    <w:rsid w:val="008506BC"/>
    <w:rsid w:val="00850D8F"/>
    <w:rsid w:val="008510DE"/>
    <w:rsid w:val="008513F9"/>
    <w:rsid w:val="008519EC"/>
    <w:rsid w:val="00852045"/>
    <w:rsid w:val="008521C3"/>
    <w:rsid w:val="00852283"/>
    <w:rsid w:val="008527D4"/>
    <w:rsid w:val="00852C8D"/>
    <w:rsid w:val="008530AD"/>
    <w:rsid w:val="00854410"/>
    <w:rsid w:val="00854634"/>
    <w:rsid w:val="0085589C"/>
    <w:rsid w:val="00856377"/>
    <w:rsid w:val="00856CE4"/>
    <w:rsid w:val="0085746F"/>
    <w:rsid w:val="008602CF"/>
    <w:rsid w:val="0086065E"/>
    <w:rsid w:val="00861A2E"/>
    <w:rsid w:val="00861BC3"/>
    <w:rsid w:val="00861C10"/>
    <w:rsid w:val="00861D5A"/>
    <w:rsid w:val="00861FF8"/>
    <w:rsid w:val="008625C6"/>
    <w:rsid w:val="00862CBF"/>
    <w:rsid w:val="008632E6"/>
    <w:rsid w:val="008636DE"/>
    <w:rsid w:val="00863AAC"/>
    <w:rsid w:val="00864A74"/>
    <w:rsid w:val="00865110"/>
    <w:rsid w:val="00865A7B"/>
    <w:rsid w:val="00865DBC"/>
    <w:rsid w:val="008661DA"/>
    <w:rsid w:val="00866598"/>
    <w:rsid w:val="00866A26"/>
    <w:rsid w:val="00866DDA"/>
    <w:rsid w:val="00867449"/>
    <w:rsid w:val="00867926"/>
    <w:rsid w:val="00867A89"/>
    <w:rsid w:val="00867D79"/>
    <w:rsid w:val="008705BA"/>
    <w:rsid w:val="00870AB3"/>
    <w:rsid w:val="00870DE8"/>
    <w:rsid w:val="00870EF8"/>
    <w:rsid w:val="008715EB"/>
    <w:rsid w:val="00871CCA"/>
    <w:rsid w:val="00871D0D"/>
    <w:rsid w:val="00871F97"/>
    <w:rsid w:val="0087240D"/>
    <w:rsid w:val="00873429"/>
    <w:rsid w:val="00873E64"/>
    <w:rsid w:val="00873F6C"/>
    <w:rsid w:val="008747B8"/>
    <w:rsid w:val="008754C1"/>
    <w:rsid w:val="00875885"/>
    <w:rsid w:val="00875ED0"/>
    <w:rsid w:val="0087660A"/>
    <w:rsid w:val="008770EC"/>
    <w:rsid w:val="00877969"/>
    <w:rsid w:val="00877A44"/>
    <w:rsid w:val="00877C96"/>
    <w:rsid w:val="00877DEB"/>
    <w:rsid w:val="00880AC6"/>
    <w:rsid w:val="00880BCE"/>
    <w:rsid w:val="00880C2A"/>
    <w:rsid w:val="00880EBB"/>
    <w:rsid w:val="00881719"/>
    <w:rsid w:val="00881CCF"/>
    <w:rsid w:val="00881E63"/>
    <w:rsid w:val="008825A5"/>
    <w:rsid w:val="00882B21"/>
    <w:rsid w:val="008837C1"/>
    <w:rsid w:val="00883875"/>
    <w:rsid w:val="00883B07"/>
    <w:rsid w:val="00884256"/>
    <w:rsid w:val="00884DF7"/>
    <w:rsid w:val="00884E9C"/>
    <w:rsid w:val="008854E7"/>
    <w:rsid w:val="008860AD"/>
    <w:rsid w:val="0088612A"/>
    <w:rsid w:val="00886477"/>
    <w:rsid w:val="008866C3"/>
    <w:rsid w:val="00886E53"/>
    <w:rsid w:val="0088711C"/>
    <w:rsid w:val="008876C8"/>
    <w:rsid w:val="008879B5"/>
    <w:rsid w:val="00887BA3"/>
    <w:rsid w:val="0089060B"/>
    <w:rsid w:val="008907ED"/>
    <w:rsid w:val="00890829"/>
    <w:rsid w:val="00890AB5"/>
    <w:rsid w:val="00891381"/>
    <w:rsid w:val="008915FB"/>
    <w:rsid w:val="008924DD"/>
    <w:rsid w:val="00892F2E"/>
    <w:rsid w:val="00893054"/>
    <w:rsid w:val="008930AC"/>
    <w:rsid w:val="00894592"/>
    <w:rsid w:val="00894A0E"/>
    <w:rsid w:val="00895299"/>
    <w:rsid w:val="00895731"/>
    <w:rsid w:val="00895993"/>
    <w:rsid w:val="00895E35"/>
    <w:rsid w:val="00896B79"/>
    <w:rsid w:val="00896D6E"/>
    <w:rsid w:val="008978E0"/>
    <w:rsid w:val="008A0DDB"/>
    <w:rsid w:val="008A200B"/>
    <w:rsid w:val="008A348A"/>
    <w:rsid w:val="008A3D87"/>
    <w:rsid w:val="008A403B"/>
    <w:rsid w:val="008A4990"/>
    <w:rsid w:val="008A4DC9"/>
    <w:rsid w:val="008A5A0C"/>
    <w:rsid w:val="008A5A9D"/>
    <w:rsid w:val="008A5E51"/>
    <w:rsid w:val="008A6336"/>
    <w:rsid w:val="008A6A5B"/>
    <w:rsid w:val="008A7C9A"/>
    <w:rsid w:val="008B0BDC"/>
    <w:rsid w:val="008B2046"/>
    <w:rsid w:val="008B2241"/>
    <w:rsid w:val="008B26DE"/>
    <w:rsid w:val="008B3767"/>
    <w:rsid w:val="008B396A"/>
    <w:rsid w:val="008B3DCD"/>
    <w:rsid w:val="008B41AA"/>
    <w:rsid w:val="008B4406"/>
    <w:rsid w:val="008B49F2"/>
    <w:rsid w:val="008B4ACF"/>
    <w:rsid w:val="008B4CE5"/>
    <w:rsid w:val="008B4F70"/>
    <w:rsid w:val="008B50CB"/>
    <w:rsid w:val="008B5A16"/>
    <w:rsid w:val="008B5D3B"/>
    <w:rsid w:val="008B6947"/>
    <w:rsid w:val="008B791A"/>
    <w:rsid w:val="008B7EE6"/>
    <w:rsid w:val="008B7F98"/>
    <w:rsid w:val="008C0248"/>
    <w:rsid w:val="008C04CA"/>
    <w:rsid w:val="008C158D"/>
    <w:rsid w:val="008C1AED"/>
    <w:rsid w:val="008C1F0C"/>
    <w:rsid w:val="008C2514"/>
    <w:rsid w:val="008C2802"/>
    <w:rsid w:val="008C28AA"/>
    <w:rsid w:val="008C2C5D"/>
    <w:rsid w:val="008C2D93"/>
    <w:rsid w:val="008C31B8"/>
    <w:rsid w:val="008C36A3"/>
    <w:rsid w:val="008C39D8"/>
    <w:rsid w:val="008C4B83"/>
    <w:rsid w:val="008C539E"/>
    <w:rsid w:val="008C596B"/>
    <w:rsid w:val="008C5CD3"/>
    <w:rsid w:val="008C609F"/>
    <w:rsid w:val="008C60C1"/>
    <w:rsid w:val="008C60FF"/>
    <w:rsid w:val="008C62C7"/>
    <w:rsid w:val="008C6A2E"/>
    <w:rsid w:val="008C7B62"/>
    <w:rsid w:val="008D0373"/>
    <w:rsid w:val="008D0CA5"/>
    <w:rsid w:val="008D0FB9"/>
    <w:rsid w:val="008D11B0"/>
    <w:rsid w:val="008D16BB"/>
    <w:rsid w:val="008D1B64"/>
    <w:rsid w:val="008D1FC7"/>
    <w:rsid w:val="008D3056"/>
    <w:rsid w:val="008D35C2"/>
    <w:rsid w:val="008D36E5"/>
    <w:rsid w:val="008D391A"/>
    <w:rsid w:val="008D42D3"/>
    <w:rsid w:val="008D506D"/>
    <w:rsid w:val="008D5570"/>
    <w:rsid w:val="008D758A"/>
    <w:rsid w:val="008E0199"/>
    <w:rsid w:val="008E1119"/>
    <w:rsid w:val="008E14AD"/>
    <w:rsid w:val="008E2A6D"/>
    <w:rsid w:val="008E3735"/>
    <w:rsid w:val="008E3745"/>
    <w:rsid w:val="008E45DE"/>
    <w:rsid w:val="008E48E6"/>
    <w:rsid w:val="008E4975"/>
    <w:rsid w:val="008E4B0A"/>
    <w:rsid w:val="008E5015"/>
    <w:rsid w:val="008E50A1"/>
    <w:rsid w:val="008E5990"/>
    <w:rsid w:val="008E5B16"/>
    <w:rsid w:val="008E62C0"/>
    <w:rsid w:val="008E6550"/>
    <w:rsid w:val="008E7167"/>
    <w:rsid w:val="008E76FF"/>
    <w:rsid w:val="008E7827"/>
    <w:rsid w:val="008E7876"/>
    <w:rsid w:val="008E7A9E"/>
    <w:rsid w:val="008E7FAB"/>
    <w:rsid w:val="008F0520"/>
    <w:rsid w:val="008F0615"/>
    <w:rsid w:val="008F1AB6"/>
    <w:rsid w:val="008F2158"/>
    <w:rsid w:val="008F21FE"/>
    <w:rsid w:val="008F2CFF"/>
    <w:rsid w:val="008F2F3D"/>
    <w:rsid w:val="008F317E"/>
    <w:rsid w:val="008F3641"/>
    <w:rsid w:val="008F381F"/>
    <w:rsid w:val="008F386A"/>
    <w:rsid w:val="008F3F95"/>
    <w:rsid w:val="008F4F0B"/>
    <w:rsid w:val="008F518E"/>
    <w:rsid w:val="008F57CD"/>
    <w:rsid w:val="008F5A1E"/>
    <w:rsid w:val="008F6BA9"/>
    <w:rsid w:val="008F6BD8"/>
    <w:rsid w:val="008F7395"/>
    <w:rsid w:val="008F7B05"/>
    <w:rsid w:val="009019DE"/>
    <w:rsid w:val="00901C34"/>
    <w:rsid w:val="00901C6A"/>
    <w:rsid w:val="00902B44"/>
    <w:rsid w:val="00903A05"/>
    <w:rsid w:val="00903EEF"/>
    <w:rsid w:val="00904494"/>
    <w:rsid w:val="009046CE"/>
    <w:rsid w:val="00905D77"/>
    <w:rsid w:val="0090680B"/>
    <w:rsid w:val="0090794C"/>
    <w:rsid w:val="00907D88"/>
    <w:rsid w:val="00907EE2"/>
    <w:rsid w:val="00910A9E"/>
    <w:rsid w:val="00911191"/>
    <w:rsid w:val="009126AE"/>
    <w:rsid w:val="00912D9A"/>
    <w:rsid w:val="00913BF9"/>
    <w:rsid w:val="00913F03"/>
    <w:rsid w:val="0091433C"/>
    <w:rsid w:val="00914378"/>
    <w:rsid w:val="009143D4"/>
    <w:rsid w:val="00914573"/>
    <w:rsid w:val="0091465A"/>
    <w:rsid w:val="00915057"/>
    <w:rsid w:val="0091531D"/>
    <w:rsid w:val="00915683"/>
    <w:rsid w:val="00915CC2"/>
    <w:rsid w:val="00915F61"/>
    <w:rsid w:val="009167A6"/>
    <w:rsid w:val="00916A00"/>
    <w:rsid w:val="00916F8C"/>
    <w:rsid w:val="00917EFC"/>
    <w:rsid w:val="00920176"/>
    <w:rsid w:val="00920F1E"/>
    <w:rsid w:val="009211AE"/>
    <w:rsid w:val="009214E7"/>
    <w:rsid w:val="00921A20"/>
    <w:rsid w:val="00921E21"/>
    <w:rsid w:val="00922201"/>
    <w:rsid w:val="0092226E"/>
    <w:rsid w:val="009229F7"/>
    <w:rsid w:val="00923215"/>
    <w:rsid w:val="009241AD"/>
    <w:rsid w:val="00924E10"/>
    <w:rsid w:val="00925871"/>
    <w:rsid w:val="00925910"/>
    <w:rsid w:val="00925AF2"/>
    <w:rsid w:val="009261ED"/>
    <w:rsid w:val="00926BEA"/>
    <w:rsid w:val="00927F58"/>
    <w:rsid w:val="0093089A"/>
    <w:rsid w:val="00930D15"/>
    <w:rsid w:val="00931870"/>
    <w:rsid w:val="0093238B"/>
    <w:rsid w:val="00932A30"/>
    <w:rsid w:val="009332EF"/>
    <w:rsid w:val="00934191"/>
    <w:rsid w:val="00934AA4"/>
    <w:rsid w:val="00934B22"/>
    <w:rsid w:val="00934B87"/>
    <w:rsid w:val="00934D2D"/>
    <w:rsid w:val="00935395"/>
    <w:rsid w:val="00935F4C"/>
    <w:rsid w:val="00935FC3"/>
    <w:rsid w:val="00936490"/>
    <w:rsid w:val="00936DA3"/>
    <w:rsid w:val="009371D0"/>
    <w:rsid w:val="009375DE"/>
    <w:rsid w:val="009379F8"/>
    <w:rsid w:val="00937DCA"/>
    <w:rsid w:val="00937F3D"/>
    <w:rsid w:val="00940437"/>
    <w:rsid w:val="00940584"/>
    <w:rsid w:val="009411F3"/>
    <w:rsid w:val="00941677"/>
    <w:rsid w:val="00941DB6"/>
    <w:rsid w:val="0094264C"/>
    <w:rsid w:val="00942BC6"/>
    <w:rsid w:val="00942DAC"/>
    <w:rsid w:val="009431E7"/>
    <w:rsid w:val="00944734"/>
    <w:rsid w:val="00944B0C"/>
    <w:rsid w:val="009451EB"/>
    <w:rsid w:val="0094540E"/>
    <w:rsid w:val="00945F5D"/>
    <w:rsid w:val="00946272"/>
    <w:rsid w:val="00946D0A"/>
    <w:rsid w:val="00950378"/>
    <w:rsid w:val="00950B8B"/>
    <w:rsid w:val="00950F24"/>
    <w:rsid w:val="0095138B"/>
    <w:rsid w:val="00951478"/>
    <w:rsid w:val="009516F0"/>
    <w:rsid w:val="00951BEC"/>
    <w:rsid w:val="00951F65"/>
    <w:rsid w:val="0095203A"/>
    <w:rsid w:val="009529F6"/>
    <w:rsid w:val="00952EA0"/>
    <w:rsid w:val="00954422"/>
    <w:rsid w:val="00954EB4"/>
    <w:rsid w:val="00954F2F"/>
    <w:rsid w:val="00955339"/>
    <w:rsid w:val="00955479"/>
    <w:rsid w:val="009554BD"/>
    <w:rsid w:val="0095552A"/>
    <w:rsid w:val="009560F4"/>
    <w:rsid w:val="009565FC"/>
    <w:rsid w:val="00956700"/>
    <w:rsid w:val="00956B29"/>
    <w:rsid w:val="00957AB1"/>
    <w:rsid w:val="00957C36"/>
    <w:rsid w:val="00957F7F"/>
    <w:rsid w:val="009602C3"/>
    <w:rsid w:val="00960822"/>
    <w:rsid w:val="00960AD9"/>
    <w:rsid w:val="00961642"/>
    <w:rsid w:val="00962000"/>
    <w:rsid w:val="0096220E"/>
    <w:rsid w:val="0096233B"/>
    <w:rsid w:val="00962372"/>
    <w:rsid w:val="00962FDB"/>
    <w:rsid w:val="00963053"/>
    <w:rsid w:val="0096338E"/>
    <w:rsid w:val="009638F4"/>
    <w:rsid w:val="00964015"/>
    <w:rsid w:val="0096412B"/>
    <w:rsid w:val="00964746"/>
    <w:rsid w:val="00964E29"/>
    <w:rsid w:val="0096549B"/>
    <w:rsid w:val="0096580D"/>
    <w:rsid w:val="00965D33"/>
    <w:rsid w:val="00966446"/>
    <w:rsid w:val="0096647D"/>
    <w:rsid w:val="0096796D"/>
    <w:rsid w:val="00970948"/>
    <w:rsid w:val="00972EB0"/>
    <w:rsid w:val="0097321F"/>
    <w:rsid w:val="0097335F"/>
    <w:rsid w:val="009735B8"/>
    <w:rsid w:val="00974080"/>
    <w:rsid w:val="00974472"/>
    <w:rsid w:val="00974ACF"/>
    <w:rsid w:val="00975675"/>
    <w:rsid w:val="00975687"/>
    <w:rsid w:val="00975889"/>
    <w:rsid w:val="00975D5D"/>
    <w:rsid w:val="00975D9C"/>
    <w:rsid w:val="00975DE0"/>
    <w:rsid w:val="00976314"/>
    <w:rsid w:val="00976788"/>
    <w:rsid w:val="0097685D"/>
    <w:rsid w:val="00976E31"/>
    <w:rsid w:val="00977A45"/>
    <w:rsid w:val="009803C1"/>
    <w:rsid w:val="00980B84"/>
    <w:rsid w:val="00981830"/>
    <w:rsid w:val="0098245A"/>
    <w:rsid w:val="0098279E"/>
    <w:rsid w:val="00982AD5"/>
    <w:rsid w:val="00983ABB"/>
    <w:rsid w:val="009840FC"/>
    <w:rsid w:val="00984469"/>
    <w:rsid w:val="00984E95"/>
    <w:rsid w:val="00984FF8"/>
    <w:rsid w:val="00985070"/>
    <w:rsid w:val="009851A4"/>
    <w:rsid w:val="009852E6"/>
    <w:rsid w:val="00985685"/>
    <w:rsid w:val="009859E3"/>
    <w:rsid w:val="00985F56"/>
    <w:rsid w:val="00986445"/>
    <w:rsid w:val="009864F2"/>
    <w:rsid w:val="00986757"/>
    <w:rsid w:val="00987697"/>
    <w:rsid w:val="0098771C"/>
    <w:rsid w:val="0098772D"/>
    <w:rsid w:val="00990614"/>
    <w:rsid w:val="00991424"/>
    <w:rsid w:val="009915E4"/>
    <w:rsid w:val="00991D6A"/>
    <w:rsid w:val="00992CED"/>
    <w:rsid w:val="009944D0"/>
    <w:rsid w:val="00994DAA"/>
    <w:rsid w:val="009950E8"/>
    <w:rsid w:val="00995D73"/>
    <w:rsid w:val="00995F9B"/>
    <w:rsid w:val="00996369"/>
    <w:rsid w:val="00996E72"/>
    <w:rsid w:val="00997663"/>
    <w:rsid w:val="009A02A6"/>
    <w:rsid w:val="009A1948"/>
    <w:rsid w:val="009A1AAD"/>
    <w:rsid w:val="009A1B83"/>
    <w:rsid w:val="009A2B98"/>
    <w:rsid w:val="009A3354"/>
    <w:rsid w:val="009A33C5"/>
    <w:rsid w:val="009A344A"/>
    <w:rsid w:val="009A3B2D"/>
    <w:rsid w:val="009A3D65"/>
    <w:rsid w:val="009A4047"/>
    <w:rsid w:val="009A40C5"/>
    <w:rsid w:val="009A41A3"/>
    <w:rsid w:val="009A4972"/>
    <w:rsid w:val="009A4A32"/>
    <w:rsid w:val="009A50BB"/>
    <w:rsid w:val="009A5655"/>
    <w:rsid w:val="009A5AC1"/>
    <w:rsid w:val="009A6A09"/>
    <w:rsid w:val="009A70BB"/>
    <w:rsid w:val="009A73A0"/>
    <w:rsid w:val="009A749E"/>
    <w:rsid w:val="009A7702"/>
    <w:rsid w:val="009B01FE"/>
    <w:rsid w:val="009B0282"/>
    <w:rsid w:val="009B044C"/>
    <w:rsid w:val="009B0BD6"/>
    <w:rsid w:val="009B10D6"/>
    <w:rsid w:val="009B1281"/>
    <w:rsid w:val="009B18D3"/>
    <w:rsid w:val="009B1BA0"/>
    <w:rsid w:val="009B1DCF"/>
    <w:rsid w:val="009B204A"/>
    <w:rsid w:val="009B219D"/>
    <w:rsid w:val="009B22A9"/>
    <w:rsid w:val="009B2427"/>
    <w:rsid w:val="009B2C6C"/>
    <w:rsid w:val="009B2F5D"/>
    <w:rsid w:val="009B311F"/>
    <w:rsid w:val="009B318B"/>
    <w:rsid w:val="009B4573"/>
    <w:rsid w:val="009B4998"/>
    <w:rsid w:val="009B5300"/>
    <w:rsid w:val="009B5A38"/>
    <w:rsid w:val="009B631F"/>
    <w:rsid w:val="009B695A"/>
    <w:rsid w:val="009B7802"/>
    <w:rsid w:val="009C0347"/>
    <w:rsid w:val="009C0BF3"/>
    <w:rsid w:val="009C14A1"/>
    <w:rsid w:val="009C1DDA"/>
    <w:rsid w:val="009C211C"/>
    <w:rsid w:val="009C3D37"/>
    <w:rsid w:val="009C42EF"/>
    <w:rsid w:val="009C4490"/>
    <w:rsid w:val="009C5177"/>
    <w:rsid w:val="009C5298"/>
    <w:rsid w:val="009C58E0"/>
    <w:rsid w:val="009C59E5"/>
    <w:rsid w:val="009C641F"/>
    <w:rsid w:val="009C674A"/>
    <w:rsid w:val="009C6889"/>
    <w:rsid w:val="009C734A"/>
    <w:rsid w:val="009C79B6"/>
    <w:rsid w:val="009D056A"/>
    <w:rsid w:val="009D09DF"/>
    <w:rsid w:val="009D0AE2"/>
    <w:rsid w:val="009D1E9F"/>
    <w:rsid w:val="009D28CA"/>
    <w:rsid w:val="009D379C"/>
    <w:rsid w:val="009D496B"/>
    <w:rsid w:val="009D4F85"/>
    <w:rsid w:val="009D51E7"/>
    <w:rsid w:val="009D5820"/>
    <w:rsid w:val="009D6D15"/>
    <w:rsid w:val="009D716B"/>
    <w:rsid w:val="009D71D8"/>
    <w:rsid w:val="009D7409"/>
    <w:rsid w:val="009D7941"/>
    <w:rsid w:val="009E0601"/>
    <w:rsid w:val="009E0E2C"/>
    <w:rsid w:val="009E0F44"/>
    <w:rsid w:val="009E0FCB"/>
    <w:rsid w:val="009E1520"/>
    <w:rsid w:val="009E23D6"/>
    <w:rsid w:val="009E27C3"/>
    <w:rsid w:val="009E2EC7"/>
    <w:rsid w:val="009E3461"/>
    <w:rsid w:val="009E377C"/>
    <w:rsid w:val="009E3782"/>
    <w:rsid w:val="009E3A7B"/>
    <w:rsid w:val="009E486A"/>
    <w:rsid w:val="009E4C9E"/>
    <w:rsid w:val="009E5633"/>
    <w:rsid w:val="009E6152"/>
    <w:rsid w:val="009E6A7B"/>
    <w:rsid w:val="009E75A9"/>
    <w:rsid w:val="009E7CBE"/>
    <w:rsid w:val="009E7D3C"/>
    <w:rsid w:val="009E7D53"/>
    <w:rsid w:val="009F04BF"/>
    <w:rsid w:val="009F0878"/>
    <w:rsid w:val="009F2199"/>
    <w:rsid w:val="009F2395"/>
    <w:rsid w:val="009F250C"/>
    <w:rsid w:val="009F3560"/>
    <w:rsid w:val="009F3C86"/>
    <w:rsid w:val="009F4601"/>
    <w:rsid w:val="009F4E94"/>
    <w:rsid w:val="009F503F"/>
    <w:rsid w:val="009F51FD"/>
    <w:rsid w:val="009F54C6"/>
    <w:rsid w:val="009F6511"/>
    <w:rsid w:val="009F724B"/>
    <w:rsid w:val="009F7F1A"/>
    <w:rsid w:val="00A0054D"/>
    <w:rsid w:val="00A0129A"/>
    <w:rsid w:val="00A013F2"/>
    <w:rsid w:val="00A0233E"/>
    <w:rsid w:val="00A02701"/>
    <w:rsid w:val="00A02BAF"/>
    <w:rsid w:val="00A02F30"/>
    <w:rsid w:val="00A03164"/>
    <w:rsid w:val="00A03572"/>
    <w:rsid w:val="00A036E0"/>
    <w:rsid w:val="00A03F52"/>
    <w:rsid w:val="00A05336"/>
    <w:rsid w:val="00A0563A"/>
    <w:rsid w:val="00A06781"/>
    <w:rsid w:val="00A07376"/>
    <w:rsid w:val="00A07423"/>
    <w:rsid w:val="00A07930"/>
    <w:rsid w:val="00A079CE"/>
    <w:rsid w:val="00A07DB8"/>
    <w:rsid w:val="00A107A9"/>
    <w:rsid w:val="00A107C0"/>
    <w:rsid w:val="00A10F61"/>
    <w:rsid w:val="00A11720"/>
    <w:rsid w:val="00A117BA"/>
    <w:rsid w:val="00A11A5F"/>
    <w:rsid w:val="00A12751"/>
    <w:rsid w:val="00A12AB8"/>
    <w:rsid w:val="00A12EE3"/>
    <w:rsid w:val="00A13549"/>
    <w:rsid w:val="00A14079"/>
    <w:rsid w:val="00A14543"/>
    <w:rsid w:val="00A153CD"/>
    <w:rsid w:val="00A1552D"/>
    <w:rsid w:val="00A15FD0"/>
    <w:rsid w:val="00A15FD3"/>
    <w:rsid w:val="00A168F8"/>
    <w:rsid w:val="00A16E4C"/>
    <w:rsid w:val="00A16E7E"/>
    <w:rsid w:val="00A171FB"/>
    <w:rsid w:val="00A173F0"/>
    <w:rsid w:val="00A17846"/>
    <w:rsid w:val="00A17861"/>
    <w:rsid w:val="00A20116"/>
    <w:rsid w:val="00A2029E"/>
    <w:rsid w:val="00A20BB5"/>
    <w:rsid w:val="00A22563"/>
    <w:rsid w:val="00A22B7C"/>
    <w:rsid w:val="00A22E7D"/>
    <w:rsid w:val="00A23166"/>
    <w:rsid w:val="00A2325A"/>
    <w:rsid w:val="00A234A5"/>
    <w:rsid w:val="00A2382E"/>
    <w:rsid w:val="00A23AF0"/>
    <w:rsid w:val="00A23D7D"/>
    <w:rsid w:val="00A24213"/>
    <w:rsid w:val="00A2453D"/>
    <w:rsid w:val="00A24D02"/>
    <w:rsid w:val="00A258B0"/>
    <w:rsid w:val="00A25D5E"/>
    <w:rsid w:val="00A26BA1"/>
    <w:rsid w:val="00A26BDE"/>
    <w:rsid w:val="00A274C1"/>
    <w:rsid w:val="00A27814"/>
    <w:rsid w:val="00A308BE"/>
    <w:rsid w:val="00A30CA2"/>
    <w:rsid w:val="00A30DCC"/>
    <w:rsid w:val="00A31346"/>
    <w:rsid w:val="00A31701"/>
    <w:rsid w:val="00A31811"/>
    <w:rsid w:val="00A31877"/>
    <w:rsid w:val="00A31E24"/>
    <w:rsid w:val="00A3267F"/>
    <w:rsid w:val="00A32E37"/>
    <w:rsid w:val="00A32F9C"/>
    <w:rsid w:val="00A3345A"/>
    <w:rsid w:val="00A337E3"/>
    <w:rsid w:val="00A3415F"/>
    <w:rsid w:val="00A34740"/>
    <w:rsid w:val="00A34A8B"/>
    <w:rsid w:val="00A3583F"/>
    <w:rsid w:val="00A362B1"/>
    <w:rsid w:val="00A36F7E"/>
    <w:rsid w:val="00A3712B"/>
    <w:rsid w:val="00A378A0"/>
    <w:rsid w:val="00A404EA"/>
    <w:rsid w:val="00A40916"/>
    <w:rsid w:val="00A41388"/>
    <w:rsid w:val="00A41439"/>
    <w:rsid w:val="00A414E5"/>
    <w:rsid w:val="00A41A0E"/>
    <w:rsid w:val="00A41BAA"/>
    <w:rsid w:val="00A41C00"/>
    <w:rsid w:val="00A41D32"/>
    <w:rsid w:val="00A4295C"/>
    <w:rsid w:val="00A42F14"/>
    <w:rsid w:val="00A42FAF"/>
    <w:rsid w:val="00A436BF"/>
    <w:rsid w:val="00A43D4E"/>
    <w:rsid w:val="00A4423F"/>
    <w:rsid w:val="00A44785"/>
    <w:rsid w:val="00A44E9D"/>
    <w:rsid w:val="00A4590F"/>
    <w:rsid w:val="00A4597A"/>
    <w:rsid w:val="00A45D25"/>
    <w:rsid w:val="00A46346"/>
    <w:rsid w:val="00A46440"/>
    <w:rsid w:val="00A465B5"/>
    <w:rsid w:val="00A4660C"/>
    <w:rsid w:val="00A5047A"/>
    <w:rsid w:val="00A5075E"/>
    <w:rsid w:val="00A50E52"/>
    <w:rsid w:val="00A514DD"/>
    <w:rsid w:val="00A5207A"/>
    <w:rsid w:val="00A52D58"/>
    <w:rsid w:val="00A549CC"/>
    <w:rsid w:val="00A54BEB"/>
    <w:rsid w:val="00A54FF4"/>
    <w:rsid w:val="00A557CE"/>
    <w:rsid w:val="00A558E0"/>
    <w:rsid w:val="00A55989"/>
    <w:rsid w:val="00A55A2C"/>
    <w:rsid w:val="00A560E5"/>
    <w:rsid w:val="00A5640F"/>
    <w:rsid w:val="00A579B6"/>
    <w:rsid w:val="00A603C6"/>
    <w:rsid w:val="00A61637"/>
    <w:rsid w:val="00A61E0B"/>
    <w:rsid w:val="00A6220E"/>
    <w:rsid w:val="00A6221D"/>
    <w:rsid w:val="00A623B2"/>
    <w:rsid w:val="00A636DD"/>
    <w:rsid w:val="00A63837"/>
    <w:rsid w:val="00A63B72"/>
    <w:rsid w:val="00A647F8"/>
    <w:rsid w:val="00A65182"/>
    <w:rsid w:val="00A6574D"/>
    <w:rsid w:val="00A66A48"/>
    <w:rsid w:val="00A678C0"/>
    <w:rsid w:val="00A679D6"/>
    <w:rsid w:val="00A71340"/>
    <w:rsid w:val="00A71642"/>
    <w:rsid w:val="00A71742"/>
    <w:rsid w:val="00A71F82"/>
    <w:rsid w:val="00A71FB0"/>
    <w:rsid w:val="00A725FE"/>
    <w:rsid w:val="00A72897"/>
    <w:rsid w:val="00A72DA5"/>
    <w:rsid w:val="00A737B8"/>
    <w:rsid w:val="00A73A55"/>
    <w:rsid w:val="00A73B0F"/>
    <w:rsid w:val="00A74A11"/>
    <w:rsid w:val="00A74A85"/>
    <w:rsid w:val="00A74DD2"/>
    <w:rsid w:val="00A74E3F"/>
    <w:rsid w:val="00A75001"/>
    <w:rsid w:val="00A75DC0"/>
    <w:rsid w:val="00A75F08"/>
    <w:rsid w:val="00A76014"/>
    <w:rsid w:val="00A76421"/>
    <w:rsid w:val="00A77228"/>
    <w:rsid w:val="00A77A97"/>
    <w:rsid w:val="00A77BA7"/>
    <w:rsid w:val="00A77D38"/>
    <w:rsid w:val="00A80227"/>
    <w:rsid w:val="00A80D4A"/>
    <w:rsid w:val="00A8165A"/>
    <w:rsid w:val="00A81811"/>
    <w:rsid w:val="00A81C44"/>
    <w:rsid w:val="00A8251E"/>
    <w:rsid w:val="00A825A7"/>
    <w:rsid w:val="00A8263D"/>
    <w:rsid w:val="00A82737"/>
    <w:rsid w:val="00A82C7F"/>
    <w:rsid w:val="00A82C81"/>
    <w:rsid w:val="00A82F2B"/>
    <w:rsid w:val="00A83496"/>
    <w:rsid w:val="00A834A8"/>
    <w:rsid w:val="00A8362E"/>
    <w:rsid w:val="00A83DFD"/>
    <w:rsid w:val="00A840DF"/>
    <w:rsid w:val="00A848A7"/>
    <w:rsid w:val="00A84A83"/>
    <w:rsid w:val="00A8501E"/>
    <w:rsid w:val="00A85259"/>
    <w:rsid w:val="00A853EC"/>
    <w:rsid w:val="00A8681B"/>
    <w:rsid w:val="00A869CE"/>
    <w:rsid w:val="00A86E1F"/>
    <w:rsid w:val="00A87064"/>
    <w:rsid w:val="00A87A97"/>
    <w:rsid w:val="00A87FF5"/>
    <w:rsid w:val="00A90D02"/>
    <w:rsid w:val="00A9116F"/>
    <w:rsid w:val="00A91260"/>
    <w:rsid w:val="00A9131A"/>
    <w:rsid w:val="00A917C5"/>
    <w:rsid w:val="00A91E2E"/>
    <w:rsid w:val="00A91FB3"/>
    <w:rsid w:val="00A92352"/>
    <w:rsid w:val="00A92B02"/>
    <w:rsid w:val="00A934A9"/>
    <w:rsid w:val="00A93C20"/>
    <w:rsid w:val="00A93CD8"/>
    <w:rsid w:val="00A9494F"/>
    <w:rsid w:val="00A94F46"/>
    <w:rsid w:val="00A950D8"/>
    <w:rsid w:val="00A952B0"/>
    <w:rsid w:val="00A953B5"/>
    <w:rsid w:val="00A9562D"/>
    <w:rsid w:val="00A95653"/>
    <w:rsid w:val="00A95D37"/>
    <w:rsid w:val="00A9709D"/>
    <w:rsid w:val="00A97338"/>
    <w:rsid w:val="00A97525"/>
    <w:rsid w:val="00A97589"/>
    <w:rsid w:val="00A975F8"/>
    <w:rsid w:val="00A9770D"/>
    <w:rsid w:val="00AA0265"/>
    <w:rsid w:val="00AA02F0"/>
    <w:rsid w:val="00AA0A38"/>
    <w:rsid w:val="00AA1072"/>
    <w:rsid w:val="00AA25B0"/>
    <w:rsid w:val="00AA3012"/>
    <w:rsid w:val="00AA3719"/>
    <w:rsid w:val="00AA3756"/>
    <w:rsid w:val="00AA45F3"/>
    <w:rsid w:val="00AA4AFE"/>
    <w:rsid w:val="00AA4D5E"/>
    <w:rsid w:val="00AA500B"/>
    <w:rsid w:val="00AA5090"/>
    <w:rsid w:val="00AA6609"/>
    <w:rsid w:val="00AA684F"/>
    <w:rsid w:val="00AA79D2"/>
    <w:rsid w:val="00AA7DCA"/>
    <w:rsid w:val="00AB0520"/>
    <w:rsid w:val="00AB1385"/>
    <w:rsid w:val="00AB1465"/>
    <w:rsid w:val="00AB1E03"/>
    <w:rsid w:val="00AB27C2"/>
    <w:rsid w:val="00AB2E56"/>
    <w:rsid w:val="00AB2E74"/>
    <w:rsid w:val="00AB3499"/>
    <w:rsid w:val="00AB3798"/>
    <w:rsid w:val="00AB3DF2"/>
    <w:rsid w:val="00AB3DFE"/>
    <w:rsid w:val="00AB4366"/>
    <w:rsid w:val="00AB43E1"/>
    <w:rsid w:val="00AB44E9"/>
    <w:rsid w:val="00AB45DE"/>
    <w:rsid w:val="00AB4C22"/>
    <w:rsid w:val="00AB51E7"/>
    <w:rsid w:val="00AB52B6"/>
    <w:rsid w:val="00AB5310"/>
    <w:rsid w:val="00AB6945"/>
    <w:rsid w:val="00AB6A8F"/>
    <w:rsid w:val="00AB6F5B"/>
    <w:rsid w:val="00AB7C45"/>
    <w:rsid w:val="00AB7C78"/>
    <w:rsid w:val="00AC061C"/>
    <w:rsid w:val="00AC0E7C"/>
    <w:rsid w:val="00AC1355"/>
    <w:rsid w:val="00AC185C"/>
    <w:rsid w:val="00AC196F"/>
    <w:rsid w:val="00AC2331"/>
    <w:rsid w:val="00AC2B7E"/>
    <w:rsid w:val="00AC2CE3"/>
    <w:rsid w:val="00AC3B8F"/>
    <w:rsid w:val="00AC3C9F"/>
    <w:rsid w:val="00AC436F"/>
    <w:rsid w:val="00AC468A"/>
    <w:rsid w:val="00AC48FB"/>
    <w:rsid w:val="00AC4DE8"/>
    <w:rsid w:val="00AC5308"/>
    <w:rsid w:val="00AC5CC3"/>
    <w:rsid w:val="00AC641E"/>
    <w:rsid w:val="00AC7652"/>
    <w:rsid w:val="00AC777C"/>
    <w:rsid w:val="00AD15FD"/>
    <w:rsid w:val="00AD166F"/>
    <w:rsid w:val="00AD1730"/>
    <w:rsid w:val="00AD1F00"/>
    <w:rsid w:val="00AD2200"/>
    <w:rsid w:val="00AD34F2"/>
    <w:rsid w:val="00AD3690"/>
    <w:rsid w:val="00AD3CA7"/>
    <w:rsid w:val="00AD4B50"/>
    <w:rsid w:val="00AD4FD7"/>
    <w:rsid w:val="00AD5493"/>
    <w:rsid w:val="00AE025C"/>
    <w:rsid w:val="00AE074B"/>
    <w:rsid w:val="00AE16AE"/>
    <w:rsid w:val="00AE17CF"/>
    <w:rsid w:val="00AE212E"/>
    <w:rsid w:val="00AE2B6B"/>
    <w:rsid w:val="00AE3470"/>
    <w:rsid w:val="00AE347B"/>
    <w:rsid w:val="00AE36CD"/>
    <w:rsid w:val="00AE39AD"/>
    <w:rsid w:val="00AE4ECC"/>
    <w:rsid w:val="00AE53DF"/>
    <w:rsid w:val="00AE5544"/>
    <w:rsid w:val="00AE57A5"/>
    <w:rsid w:val="00AE57C7"/>
    <w:rsid w:val="00AE666B"/>
    <w:rsid w:val="00AE6CDD"/>
    <w:rsid w:val="00AE6D10"/>
    <w:rsid w:val="00AE7157"/>
    <w:rsid w:val="00AE7294"/>
    <w:rsid w:val="00AE7520"/>
    <w:rsid w:val="00AE7DA9"/>
    <w:rsid w:val="00AE7DC7"/>
    <w:rsid w:val="00AF0CD4"/>
    <w:rsid w:val="00AF1476"/>
    <w:rsid w:val="00AF31B2"/>
    <w:rsid w:val="00AF32D6"/>
    <w:rsid w:val="00AF39C3"/>
    <w:rsid w:val="00AF3E3A"/>
    <w:rsid w:val="00AF41C9"/>
    <w:rsid w:val="00AF4A05"/>
    <w:rsid w:val="00AF5137"/>
    <w:rsid w:val="00AF51A8"/>
    <w:rsid w:val="00AF5400"/>
    <w:rsid w:val="00AF5D1A"/>
    <w:rsid w:val="00AF6301"/>
    <w:rsid w:val="00AF6B5B"/>
    <w:rsid w:val="00AF744D"/>
    <w:rsid w:val="00AF7D84"/>
    <w:rsid w:val="00B002F7"/>
    <w:rsid w:val="00B00D24"/>
    <w:rsid w:val="00B0249D"/>
    <w:rsid w:val="00B028A4"/>
    <w:rsid w:val="00B032AD"/>
    <w:rsid w:val="00B039D4"/>
    <w:rsid w:val="00B03B7D"/>
    <w:rsid w:val="00B04192"/>
    <w:rsid w:val="00B04ECE"/>
    <w:rsid w:val="00B04EE0"/>
    <w:rsid w:val="00B05750"/>
    <w:rsid w:val="00B06260"/>
    <w:rsid w:val="00B066A9"/>
    <w:rsid w:val="00B068B5"/>
    <w:rsid w:val="00B076A8"/>
    <w:rsid w:val="00B0789C"/>
    <w:rsid w:val="00B07C74"/>
    <w:rsid w:val="00B102FF"/>
    <w:rsid w:val="00B10409"/>
    <w:rsid w:val="00B10967"/>
    <w:rsid w:val="00B116C2"/>
    <w:rsid w:val="00B11AB8"/>
    <w:rsid w:val="00B11B81"/>
    <w:rsid w:val="00B120A6"/>
    <w:rsid w:val="00B122CA"/>
    <w:rsid w:val="00B12EE0"/>
    <w:rsid w:val="00B12F5D"/>
    <w:rsid w:val="00B13088"/>
    <w:rsid w:val="00B13455"/>
    <w:rsid w:val="00B13A24"/>
    <w:rsid w:val="00B13C29"/>
    <w:rsid w:val="00B13D81"/>
    <w:rsid w:val="00B14E33"/>
    <w:rsid w:val="00B1531E"/>
    <w:rsid w:val="00B168FA"/>
    <w:rsid w:val="00B170B2"/>
    <w:rsid w:val="00B1747D"/>
    <w:rsid w:val="00B204D2"/>
    <w:rsid w:val="00B20DF2"/>
    <w:rsid w:val="00B21421"/>
    <w:rsid w:val="00B226DA"/>
    <w:rsid w:val="00B22843"/>
    <w:rsid w:val="00B22B15"/>
    <w:rsid w:val="00B23240"/>
    <w:rsid w:val="00B234EA"/>
    <w:rsid w:val="00B23E46"/>
    <w:rsid w:val="00B240CF"/>
    <w:rsid w:val="00B24C38"/>
    <w:rsid w:val="00B24C8B"/>
    <w:rsid w:val="00B24D7D"/>
    <w:rsid w:val="00B251C2"/>
    <w:rsid w:val="00B25238"/>
    <w:rsid w:val="00B263B2"/>
    <w:rsid w:val="00B26936"/>
    <w:rsid w:val="00B2718E"/>
    <w:rsid w:val="00B300BD"/>
    <w:rsid w:val="00B30561"/>
    <w:rsid w:val="00B30D66"/>
    <w:rsid w:val="00B31405"/>
    <w:rsid w:val="00B3145F"/>
    <w:rsid w:val="00B3279F"/>
    <w:rsid w:val="00B327D5"/>
    <w:rsid w:val="00B327FB"/>
    <w:rsid w:val="00B334C8"/>
    <w:rsid w:val="00B33DB6"/>
    <w:rsid w:val="00B33EEA"/>
    <w:rsid w:val="00B341F2"/>
    <w:rsid w:val="00B3432D"/>
    <w:rsid w:val="00B34359"/>
    <w:rsid w:val="00B344FC"/>
    <w:rsid w:val="00B34514"/>
    <w:rsid w:val="00B34883"/>
    <w:rsid w:val="00B34CE1"/>
    <w:rsid w:val="00B350BF"/>
    <w:rsid w:val="00B352DE"/>
    <w:rsid w:val="00B3562E"/>
    <w:rsid w:val="00B35893"/>
    <w:rsid w:val="00B35B1A"/>
    <w:rsid w:val="00B362A9"/>
    <w:rsid w:val="00B363E3"/>
    <w:rsid w:val="00B369A9"/>
    <w:rsid w:val="00B3712D"/>
    <w:rsid w:val="00B37248"/>
    <w:rsid w:val="00B37CD4"/>
    <w:rsid w:val="00B40786"/>
    <w:rsid w:val="00B40F43"/>
    <w:rsid w:val="00B421E7"/>
    <w:rsid w:val="00B42410"/>
    <w:rsid w:val="00B424C8"/>
    <w:rsid w:val="00B42E7D"/>
    <w:rsid w:val="00B43DA4"/>
    <w:rsid w:val="00B4427A"/>
    <w:rsid w:val="00B44A05"/>
    <w:rsid w:val="00B45141"/>
    <w:rsid w:val="00B45B2A"/>
    <w:rsid w:val="00B45BFE"/>
    <w:rsid w:val="00B469DA"/>
    <w:rsid w:val="00B46C8B"/>
    <w:rsid w:val="00B50FBA"/>
    <w:rsid w:val="00B5115A"/>
    <w:rsid w:val="00B51563"/>
    <w:rsid w:val="00B51D7B"/>
    <w:rsid w:val="00B521A0"/>
    <w:rsid w:val="00B52622"/>
    <w:rsid w:val="00B52AE7"/>
    <w:rsid w:val="00B534CF"/>
    <w:rsid w:val="00B53E88"/>
    <w:rsid w:val="00B53F79"/>
    <w:rsid w:val="00B54079"/>
    <w:rsid w:val="00B55011"/>
    <w:rsid w:val="00B5524E"/>
    <w:rsid w:val="00B55F01"/>
    <w:rsid w:val="00B568B9"/>
    <w:rsid w:val="00B574CE"/>
    <w:rsid w:val="00B60B29"/>
    <w:rsid w:val="00B6121D"/>
    <w:rsid w:val="00B613B0"/>
    <w:rsid w:val="00B61C70"/>
    <w:rsid w:val="00B61C83"/>
    <w:rsid w:val="00B61D38"/>
    <w:rsid w:val="00B62D58"/>
    <w:rsid w:val="00B62EF6"/>
    <w:rsid w:val="00B62FE7"/>
    <w:rsid w:val="00B63370"/>
    <w:rsid w:val="00B634D8"/>
    <w:rsid w:val="00B63865"/>
    <w:rsid w:val="00B63970"/>
    <w:rsid w:val="00B63B5E"/>
    <w:rsid w:val="00B64208"/>
    <w:rsid w:val="00B651EA"/>
    <w:rsid w:val="00B65559"/>
    <w:rsid w:val="00B6580F"/>
    <w:rsid w:val="00B659FB"/>
    <w:rsid w:val="00B65AD7"/>
    <w:rsid w:val="00B65E37"/>
    <w:rsid w:val="00B66BC4"/>
    <w:rsid w:val="00B66C92"/>
    <w:rsid w:val="00B6724C"/>
    <w:rsid w:val="00B6753D"/>
    <w:rsid w:val="00B70380"/>
    <w:rsid w:val="00B70F32"/>
    <w:rsid w:val="00B71824"/>
    <w:rsid w:val="00B71D58"/>
    <w:rsid w:val="00B7245B"/>
    <w:rsid w:val="00B729FB"/>
    <w:rsid w:val="00B72DB7"/>
    <w:rsid w:val="00B73A1F"/>
    <w:rsid w:val="00B73A83"/>
    <w:rsid w:val="00B73B24"/>
    <w:rsid w:val="00B73CB2"/>
    <w:rsid w:val="00B73FDA"/>
    <w:rsid w:val="00B741EF"/>
    <w:rsid w:val="00B74AE9"/>
    <w:rsid w:val="00B75158"/>
    <w:rsid w:val="00B754AC"/>
    <w:rsid w:val="00B75E32"/>
    <w:rsid w:val="00B76261"/>
    <w:rsid w:val="00B764B8"/>
    <w:rsid w:val="00B76C7F"/>
    <w:rsid w:val="00B7727C"/>
    <w:rsid w:val="00B77445"/>
    <w:rsid w:val="00B7775F"/>
    <w:rsid w:val="00B802F1"/>
    <w:rsid w:val="00B80370"/>
    <w:rsid w:val="00B80C57"/>
    <w:rsid w:val="00B80FEC"/>
    <w:rsid w:val="00B81031"/>
    <w:rsid w:val="00B814FC"/>
    <w:rsid w:val="00B823A4"/>
    <w:rsid w:val="00B825C5"/>
    <w:rsid w:val="00B82927"/>
    <w:rsid w:val="00B8360F"/>
    <w:rsid w:val="00B8428A"/>
    <w:rsid w:val="00B84442"/>
    <w:rsid w:val="00B848D8"/>
    <w:rsid w:val="00B84B8B"/>
    <w:rsid w:val="00B85576"/>
    <w:rsid w:val="00B86C8C"/>
    <w:rsid w:val="00B86E5A"/>
    <w:rsid w:val="00B873DD"/>
    <w:rsid w:val="00B87AAC"/>
    <w:rsid w:val="00B87C56"/>
    <w:rsid w:val="00B87E34"/>
    <w:rsid w:val="00B90847"/>
    <w:rsid w:val="00B909E5"/>
    <w:rsid w:val="00B9134E"/>
    <w:rsid w:val="00B91B7C"/>
    <w:rsid w:val="00B91C8E"/>
    <w:rsid w:val="00B927E5"/>
    <w:rsid w:val="00B93C49"/>
    <w:rsid w:val="00B943F5"/>
    <w:rsid w:val="00B94AA1"/>
    <w:rsid w:val="00B94B43"/>
    <w:rsid w:val="00B94BE1"/>
    <w:rsid w:val="00B94CE9"/>
    <w:rsid w:val="00B95AFA"/>
    <w:rsid w:val="00B9626B"/>
    <w:rsid w:val="00B9677C"/>
    <w:rsid w:val="00B968B8"/>
    <w:rsid w:val="00B97936"/>
    <w:rsid w:val="00B979FE"/>
    <w:rsid w:val="00B97F44"/>
    <w:rsid w:val="00BA0489"/>
    <w:rsid w:val="00BA0883"/>
    <w:rsid w:val="00BA0ECF"/>
    <w:rsid w:val="00BA2A33"/>
    <w:rsid w:val="00BA3386"/>
    <w:rsid w:val="00BA352D"/>
    <w:rsid w:val="00BA35CA"/>
    <w:rsid w:val="00BA381F"/>
    <w:rsid w:val="00BA3870"/>
    <w:rsid w:val="00BA38E9"/>
    <w:rsid w:val="00BA3F10"/>
    <w:rsid w:val="00BA4F6D"/>
    <w:rsid w:val="00BA5536"/>
    <w:rsid w:val="00BA5A24"/>
    <w:rsid w:val="00BA5D7D"/>
    <w:rsid w:val="00BA6344"/>
    <w:rsid w:val="00BA634D"/>
    <w:rsid w:val="00BA64F8"/>
    <w:rsid w:val="00BA656D"/>
    <w:rsid w:val="00BA7452"/>
    <w:rsid w:val="00BA798C"/>
    <w:rsid w:val="00BB00DD"/>
    <w:rsid w:val="00BB0412"/>
    <w:rsid w:val="00BB0C18"/>
    <w:rsid w:val="00BB2385"/>
    <w:rsid w:val="00BB23A3"/>
    <w:rsid w:val="00BB247E"/>
    <w:rsid w:val="00BB2514"/>
    <w:rsid w:val="00BB310A"/>
    <w:rsid w:val="00BB35C4"/>
    <w:rsid w:val="00BB3962"/>
    <w:rsid w:val="00BB3C75"/>
    <w:rsid w:val="00BB3D9E"/>
    <w:rsid w:val="00BB4183"/>
    <w:rsid w:val="00BB46E2"/>
    <w:rsid w:val="00BB47C6"/>
    <w:rsid w:val="00BB4E07"/>
    <w:rsid w:val="00BB519E"/>
    <w:rsid w:val="00BB549C"/>
    <w:rsid w:val="00BB5808"/>
    <w:rsid w:val="00BB5D5B"/>
    <w:rsid w:val="00BB6779"/>
    <w:rsid w:val="00BB6C7D"/>
    <w:rsid w:val="00BB7168"/>
    <w:rsid w:val="00BB7818"/>
    <w:rsid w:val="00BB787A"/>
    <w:rsid w:val="00BB794F"/>
    <w:rsid w:val="00BB7C30"/>
    <w:rsid w:val="00BB7D5E"/>
    <w:rsid w:val="00BC030F"/>
    <w:rsid w:val="00BC112A"/>
    <w:rsid w:val="00BC125E"/>
    <w:rsid w:val="00BC13BB"/>
    <w:rsid w:val="00BC160E"/>
    <w:rsid w:val="00BC17AF"/>
    <w:rsid w:val="00BC1A66"/>
    <w:rsid w:val="00BC1E56"/>
    <w:rsid w:val="00BC29CB"/>
    <w:rsid w:val="00BC3A76"/>
    <w:rsid w:val="00BC3D1E"/>
    <w:rsid w:val="00BC4372"/>
    <w:rsid w:val="00BC563C"/>
    <w:rsid w:val="00BC5A8F"/>
    <w:rsid w:val="00BC7348"/>
    <w:rsid w:val="00BD0331"/>
    <w:rsid w:val="00BD04FC"/>
    <w:rsid w:val="00BD0895"/>
    <w:rsid w:val="00BD0AC7"/>
    <w:rsid w:val="00BD0E7D"/>
    <w:rsid w:val="00BD13A3"/>
    <w:rsid w:val="00BD1469"/>
    <w:rsid w:val="00BD1C06"/>
    <w:rsid w:val="00BD1D0F"/>
    <w:rsid w:val="00BD2056"/>
    <w:rsid w:val="00BD242C"/>
    <w:rsid w:val="00BD275D"/>
    <w:rsid w:val="00BD2B5C"/>
    <w:rsid w:val="00BD2FF9"/>
    <w:rsid w:val="00BD3707"/>
    <w:rsid w:val="00BD48AD"/>
    <w:rsid w:val="00BD555F"/>
    <w:rsid w:val="00BD5C33"/>
    <w:rsid w:val="00BD6059"/>
    <w:rsid w:val="00BD6594"/>
    <w:rsid w:val="00BD6CE8"/>
    <w:rsid w:val="00BD6E0D"/>
    <w:rsid w:val="00BD7035"/>
    <w:rsid w:val="00BD70BC"/>
    <w:rsid w:val="00BD76F3"/>
    <w:rsid w:val="00BD7B2F"/>
    <w:rsid w:val="00BE06AF"/>
    <w:rsid w:val="00BE09BB"/>
    <w:rsid w:val="00BE0C80"/>
    <w:rsid w:val="00BE20F9"/>
    <w:rsid w:val="00BE220D"/>
    <w:rsid w:val="00BE2BAA"/>
    <w:rsid w:val="00BE32AE"/>
    <w:rsid w:val="00BE36BA"/>
    <w:rsid w:val="00BE47B1"/>
    <w:rsid w:val="00BE4A59"/>
    <w:rsid w:val="00BE527F"/>
    <w:rsid w:val="00BE6215"/>
    <w:rsid w:val="00BE6369"/>
    <w:rsid w:val="00BE6D13"/>
    <w:rsid w:val="00BE6FE7"/>
    <w:rsid w:val="00BE738A"/>
    <w:rsid w:val="00BE7AF7"/>
    <w:rsid w:val="00BF0F41"/>
    <w:rsid w:val="00BF11DB"/>
    <w:rsid w:val="00BF1496"/>
    <w:rsid w:val="00BF27B3"/>
    <w:rsid w:val="00BF2C3F"/>
    <w:rsid w:val="00BF32B3"/>
    <w:rsid w:val="00BF359A"/>
    <w:rsid w:val="00BF39BA"/>
    <w:rsid w:val="00BF3BE2"/>
    <w:rsid w:val="00BF4043"/>
    <w:rsid w:val="00BF40E5"/>
    <w:rsid w:val="00BF439F"/>
    <w:rsid w:val="00BF497D"/>
    <w:rsid w:val="00BF5307"/>
    <w:rsid w:val="00BF541B"/>
    <w:rsid w:val="00BF57E5"/>
    <w:rsid w:val="00BF5BF6"/>
    <w:rsid w:val="00BF5F46"/>
    <w:rsid w:val="00BF6342"/>
    <w:rsid w:val="00BF6786"/>
    <w:rsid w:val="00BF6C47"/>
    <w:rsid w:val="00BF6C75"/>
    <w:rsid w:val="00BF6F63"/>
    <w:rsid w:val="00BF7784"/>
    <w:rsid w:val="00BF7A05"/>
    <w:rsid w:val="00C00884"/>
    <w:rsid w:val="00C0104F"/>
    <w:rsid w:val="00C01180"/>
    <w:rsid w:val="00C012BA"/>
    <w:rsid w:val="00C012CC"/>
    <w:rsid w:val="00C0165F"/>
    <w:rsid w:val="00C01846"/>
    <w:rsid w:val="00C018EE"/>
    <w:rsid w:val="00C01A43"/>
    <w:rsid w:val="00C02363"/>
    <w:rsid w:val="00C02BCC"/>
    <w:rsid w:val="00C02D3B"/>
    <w:rsid w:val="00C03803"/>
    <w:rsid w:val="00C04C52"/>
    <w:rsid w:val="00C0501B"/>
    <w:rsid w:val="00C0556D"/>
    <w:rsid w:val="00C056C8"/>
    <w:rsid w:val="00C06207"/>
    <w:rsid w:val="00C067A6"/>
    <w:rsid w:val="00C07639"/>
    <w:rsid w:val="00C10085"/>
    <w:rsid w:val="00C1044F"/>
    <w:rsid w:val="00C1045F"/>
    <w:rsid w:val="00C110ED"/>
    <w:rsid w:val="00C11358"/>
    <w:rsid w:val="00C1166C"/>
    <w:rsid w:val="00C130F9"/>
    <w:rsid w:val="00C13771"/>
    <w:rsid w:val="00C138F4"/>
    <w:rsid w:val="00C147D6"/>
    <w:rsid w:val="00C1488C"/>
    <w:rsid w:val="00C14A94"/>
    <w:rsid w:val="00C14AAD"/>
    <w:rsid w:val="00C14DFD"/>
    <w:rsid w:val="00C15EEA"/>
    <w:rsid w:val="00C16114"/>
    <w:rsid w:val="00C171DF"/>
    <w:rsid w:val="00C172A5"/>
    <w:rsid w:val="00C17A78"/>
    <w:rsid w:val="00C17BBD"/>
    <w:rsid w:val="00C20CF1"/>
    <w:rsid w:val="00C20E9A"/>
    <w:rsid w:val="00C210D4"/>
    <w:rsid w:val="00C2122D"/>
    <w:rsid w:val="00C21E62"/>
    <w:rsid w:val="00C23018"/>
    <w:rsid w:val="00C23A9C"/>
    <w:rsid w:val="00C23BDE"/>
    <w:rsid w:val="00C23DC4"/>
    <w:rsid w:val="00C24051"/>
    <w:rsid w:val="00C2465C"/>
    <w:rsid w:val="00C25501"/>
    <w:rsid w:val="00C25712"/>
    <w:rsid w:val="00C265DF"/>
    <w:rsid w:val="00C26C95"/>
    <w:rsid w:val="00C27079"/>
    <w:rsid w:val="00C2772B"/>
    <w:rsid w:val="00C314A8"/>
    <w:rsid w:val="00C317E1"/>
    <w:rsid w:val="00C31C88"/>
    <w:rsid w:val="00C31F72"/>
    <w:rsid w:val="00C322C5"/>
    <w:rsid w:val="00C32694"/>
    <w:rsid w:val="00C33FE6"/>
    <w:rsid w:val="00C34631"/>
    <w:rsid w:val="00C35900"/>
    <w:rsid w:val="00C35E05"/>
    <w:rsid w:val="00C35E8D"/>
    <w:rsid w:val="00C3604D"/>
    <w:rsid w:val="00C36419"/>
    <w:rsid w:val="00C36612"/>
    <w:rsid w:val="00C37549"/>
    <w:rsid w:val="00C37DBB"/>
    <w:rsid w:val="00C40B0A"/>
    <w:rsid w:val="00C40BC2"/>
    <w:rsid w:val="00C40F31"/>
    <w:rsid w:val="00C413E8"/>
    <w:rsid w:val="00C41854"/>
    <w:rsid w:val="00C42005"/>
    <w:rsid w:val="00C42BFB"/>
    <w:rsid w:val="00C43B27"/>
    <w:rsid w:val="00C43F41"/>
    <w:rsid w:val="00C44465"/>
    <w:rsid w:val="00C44489"/>
    <w:rsid w:val="00C444C6"/>
    <w:rsid w:val="00C455A4"/>
    <w:rsid w:val="00C45F1E"/>
    <w:rsid w:val="00C460CB"/>
    <w:rsid w:val="00C4633B"/>
    <w:rsid w:val="00C473D6"/>
    <w:rsid w:val="00C47849"/>
    <w:rsid w:val="00C50396"/>
    <w:rsid w:val="00C50BC9"/>
    <w:rsid w:val="00C51CD1"/>
    <w:rsid w:val="00C527B1"/>
    <w:rsid w:val="00C5342E"/>
    <w:rsid w:val="00C537DD"/>
    <w:rsid w:val="00C53D88"/>
    <w:rsid w:val="00C53F85"/>
    <w:rsid w:val="00C54142"/>
    <w:rsid w:val="00C54B4E"/>
    <w:rsid w:val="00C559EA"/>
    <w:rsid w:val="00C55F52"/>
    <w:rsid w:val="00C55FE5"/>
    <w:rsid w:val="00C57B1B"/>
    <w:rsid w:val="00C602B5"/>
    <w:rsid w:val="00C62558"/>
    <w:rsid w:val="00C62838"/>
    <w:rsid w:val="00C62B47"/>
    <w:rsid w:val="00C63A6B"/>
    <w:rsid w:val="00C63FE5"/>
    <w:rsid w:val="00C64078"/>
    <w:rsid w:val="00C6445C"/>
    <w:rsid w:val="00C64D8A"/>
    <w:rsid w:val="00C650C9"/>
    <w:rsid w:val="00C65340"/>
    <w:rsid w:val="00C65419"/>
    <w:rsid w:val="00C655FF"/>
    <w:rsid w:val="00C65733"/>
    <w:rsid w:val="00C65736"/>
    <w:rsid w:val="00C65ADF"/>
    <w:rsid w:val="00C65BA3"/>
    <w:rsid w:val="00C65F2C"/>
    <w:rsid w:val="00C66624"/>
    <w:rsid w:val="00C66A75"/>
    <w:rsid w:val="00C67192"/>
    <w:rsid w:val="00C674B9"/>
    <w:rsid w:val="00C67739"/>
    <w:rsid w:val="00C7004D"/>
    <w:rsid w:val="00C70773"/>
    <w:rsid w:val="00C7085B"/>
    <w:rsid w:val="00C70AFF"/>
    <w:rsid w:val="00C712CD"/>
    <w:rsid w:val="00C71793"/>
    <w:rsid w:val="00C71D1A"/>
    <w:rsid w:val="00C723D3"/>
    <w:rsid w:val="00C742AB"/>
    <w:rsid w:val="00C750B2"/>
    <w:rsid w:val="00C7628A"/>
    <w:rsid w:val="00C76638"/>
    <w:rsid w:val="00C77C10"/>
    <w:rsid w:val="00C77F5F"/>
    <w:rsid w:val="00C80273"/>
    <w:rsid w:val="00C802A4"/>
    <w:rsid w:val="00C8056D"/>
    <w:rsid w:val="00C815C9"/>
    <w:rsid w:val="00C81B13"/>
    <w:rsid w:val="00C81DFB"/>
    <w:rsid w:val="00C82165"/>
    <w:rsid w:val="00C82EE1"/>
    <w:rsid w:val="00C837E5"/>
    <w:rsid w:val="00C847D8"/>
    <w:rsid w:val="00C852BD"/>
    <w:rsid w:val="00C85363"/>
    <w:rsid w:val="00C86F3B"/>
    <w:rsid w:val="00C87490"/>
    <w:rsid w:val="00C87C74"/>
    <w:rsid w:val="00C90757"/>
    <w:rsid w:val="00C90D10"/>
    <w:rsid w:val="00C90F17"/>
    <w:rsid w:val="00C91181"/>
    <w:rsid w:val="00C912C4"/>
    <w:rsid w:val="00C91484"/>
    <w:rsid w:val="00C91B5E"/>
    <w:rsid w:val="00C921FF"/>
    <w:rsid w:val="00C944C5"/>
    <w:rsid w:val="00C94B98"/>
    <w:rsid w:val="00C95947"/>
    <w:rsid w:val="00C95CBA"/>
    <w:rsid w:val="00C96002"/>
    <w:rsid w:val="00C96B48"/>
    <w:rsid w:val="00C97028"/>
    <w:rsid w:val="00C9732C"/>
    <w:rsid w:val="00C97EFD"/>
    <w:rsid w:val="00CA00EB"/>
    <w:rsid w:val="00CA0260"/>
    <w:rsid w:val="00CA06CE"/>
    <w:rsid w:val="00CA0991"/>
    <w:rsid w:val="00CA0F3D"/>
    <w:rsid w:val="00CA112A"/>
    <w:rsid w:val="00CA1655"/>
    <w:rsid w:val="00CA1BD6"/>
    <w:rsid w:val="00CA1D82"/>
    <w:rsid w:val="00CA232E"/>
    <w:rsid w:val="00CA29F3"/>
    <w:rsid w:val="00CA3310"/>
    <w:rsid w:val="00CA4023"/>
    <w:rsid w:val="00CA427B"/>
    <w:rsid w:val="00CA4CE5"/>
    <w:rsid w:val="00CA4F43"/>
    <w:rsid w:val="00CA546C"/>
    <w:rsid w:val="00CA5627"/>
    <w:rsid w:val="00CA5629"/>
    <w:rsid w:val="00CA60EC"/>
    <w:rsid w:val="00CA63B4"/>
    <w:rsid w:val="00CA7CD7"/>
    <w:rsid w:val="00CA7D49"/>
    <w:rsid w:val="00CB0DAB"/>
    <w:rsid w:val="00CB1759"/>
    <w:rsid w:val="00CB2860"/>
    <w:rsid w:val="00CB2B7B"/>
    <w:rsid w:val="00CB2F31"/>
    <w:rsid w:val="00CB2FFD"/>
    <w:rsid w:val="00CB37AB"/>
    <w:rsid w:val="00CB37FF"/>
    <w:rsid w:val="00CB3A05"/>
    <w:rsid w:val="00CB45BD"/>
    <w:rsid w:val="00CB47F4"/>
    <w:rsid w:val="00CB4B0C"/>
    <w:rsid w:val="00CB51A4"/>
    <w:rsid w:val="00CB546E"/>
    <w:rsid w:val="00CB59D6"/>
    <w:rsid w:val="00CB5A87"/>
    <w:rsid w:val="00CB65EF"/>
    <w:rsid w:val="00CB6C28"/>
    <w:rsid w:val="00CB77DB"/>
    <w:rsid w:val="00CB78F2"/>
    <w:rsid w:val="00CC013E"/>
    <w:rsid w:val="00CC051D"/>
    <w:rsid w:val="00CC0FD4"/>
    <w:rsid w:val="00CC1129"/>
    <w:rsid w:val="00CC1D9B"/>
    <w:rsid w:val="00CC25DF"/>
    <w:rsid w:val="00CC2ADB"/>
    <w:rsid w:val="00CC30F8"/>
    <w:rsid w:val="00CC41FA"/>
    <w:rsid w:val="00CC47AE"/>
    <w:rsid w:val="00CC7CAD"/>
    <w:rsid w:val="00CC7CD2"/>
    <w:rsid w:val="00CC7E10"/>
    <w:rsid w:val="00CD02B5"/>
    <w:rsid w:val="00CD0429"/>
    <w:rsid w:val="00CD1022"/>
    <w:rsid w:val="00CD1226"/>
    <w:rsid w:val="00CD1648"/>
    <w:rsid w:val="00CD164B"/>
    <w:rsid w:val="00CD2A8D"/>
    <w:rsid w:val="00CD2F8C"/>
    <w:rsid w:val="00CD31FF"/>
    <w:rsid w:val="00CD3215"/>
    <w:rsid w:val="00CD3582"/>
    <w:rsid w:val="00CD3BB9"/>
    <w:rsid w:val="00CD3D2A"/>
    <w:rsid w:val="00CD3E5D"/>
    <w:rsid w:val="00CD3E5F"/>
    <w:rsid w:val="00CD40AB"/>
    <w:rsid w:val="00CD4424"/>
    <w:rsid w:val="00CD44C0"/>
    <w:rsid w:val="00CD497E"/>
    <w:rsid w:val="00CD4E58"/>
    <w:rsid w:val="00CD521A"/>
    <w:rsid w:val="00CD62F0"/>
    <w:rsid w:val="00CD70B7"/>
    <w:rsid w:val="00CD75EB"/>
    <w:rsid w:val="00CD78C3"/>
    <w:rsid w:val="00CD7A90"/>
    <w:rsid w:val="00CD7B06"/>
    <w:rsid w:val="00CD7DC2"/>
    <w:rsid w:val="00CD7F6F"/>
    <w:rsid w:val="00CE00C6"/>
    <w:rsid w:val="00CE0823"/>
    <w:rsid w:val="00CE0841"/>
    <w:rsid w:val="00CE19A7"/>
    <w:rsid w:val="00CE1A55"/>
    <w:rsid w:val="00CE233D"/>
    <w:rsid w:val="00CE287A"/>
    <w:rsid w:val="00CE3FFC"/>
    <w:rsid w:val="00CE489C"/>
    <w:rsid w:val="00CE4C34"/>
    <w:rsid w:val="00CE4C55"/>
    <w:rsid w:val="00CE4CBD"/>
    <w:rsid w:val="00CE515F"/>
    <w:rsid w:val="00CE5CFA"/>
    <w:rsid w:val="00CE635D"/>
    <w:rsid w:val="00CF0093"/>
    <w:rsid w:val="00CF0997"/>
    <w:rsid w:val="00CF0CC4"/>
    <w:rsid w:val="00CF0EF2"/>
    <w:rsid w:val="00CF0F30"/>
    <w:rsid w:val="00CF1347"/>
    <w:rsid w:val="00CF1705"/>
    <w:rsid w:val="00CF19C6"/>
    <w:rsid w:val="00CF1E74"/>
    <w:rsid w:val="00CF1EC8"/>
    <w:rsid w:val="00CF1FFA"/>
    <w:rsid w:val="00CF27E9"/>
    <w:rsid w:val="00CF30D4"/>
    <w:rsid w:val="00CF35DC"/>
    <w:rsid w:val="00CF3686"/>
    <w:rsid w:val="00CF3705"/>
    <w:rsid w:val="00CF3971"/>
    <w:rsid w:val="00CF401F"/>
    <w:rsid w:val="00CF4D1E"/>
    <w:rsid w:val="00CF4D45"/>
    <w:rsid w:val="00CF4E0B"/>
    <w:rsid w:val="00CF5258"/>
    <w:rsid w:val="00CF5BDC"/>
    <w:rsid w:val="00CF61E0"/>
    <w:rsid w:val="00CF6292"/>
    <w:rsid w:val="00CF6451"/>
    <w:rsid w:val="00CF70F9"/>
    <w:rsid w:val="00CF7A31"/>
    <w:rsid w:val="00CF7F7A"/>
    <w:rsid w:val="00D00382"/>
    <w:rsid w:val="00D003A9"/>
    <w:rsid w:val="00D00E85"/>
    <w:rsid w:val="00D01482"/>
    <w:rsid w:val="00D01512"/>
    <w:rsid w:val="00D019DE"/>
    <w:rsid w:val="00D01AA3"/>
    <w:rsid w:val="00D01CCA"/>
    <w:rsid w:val="00D02788"/>
    <w:rsid w:val="00D02C75"/>
    <w:rsid w:val="00D03258"/>
    <w:rsid w:val="00D03CF1"/>
    <w:rsid w:val="00D040BA"/>
    <w:rsid w:val="00D046B9"/>
    <w:rsid w:val="00D04CAC"/>
    <w:rsid w:val="00D054D7"/>
    <w:rsid w:val="00D06246"/>
    <w:rsid w:val="00D06738"/>
    <w:rsid w:val="00D06A38"/>
    <w:rsid w:val="00D07C41"/>
    <w:rsid w:val="00D1059E"/>
    <w:rsid w:val="00D1088E"/>
    <w:rsid w:val="00D108F1"/>
    <w:rsid w:val="00D1104F"/>
    <w:rsid w:val="00D1177F"/>
    <w:rsid w:val="00D11CDE"/>
    <w:rsid w:val="00D12036"/>
    <w:rsid w:val="00D121F6"/>
    <w:rsid w:val="00D124C8"/>
    <w:rsid w:val="00D126DD"/>
    <w:rsid w:val="00D12A88"/>
    <w:rsid w:val="00D13123"/>
    <w:rsid w:val="00D13901"/>
    <w:rsid w:val="00D1443A"/>
    <w:rsid w:val="00D14571"/>
    <w:rsid w:val="00D1477F"/>
    <w:rsid w:val="00D14911"/>
    <w:rsid w:val="00D14937"/>
    <w:rsid w:val="00D14A20"/>
    <w:rsid w:val="00D14A51"/>
    <w:rsid w:val="00D14A6B"/>
    <w:rsid w:val="00D14AF8"/>
    <w:rsid w:val="00D152CB"/>
    <w:rsid w:val="00D156BF"/>
    <w:rsid w:val="00D1797F"/>
    <w:rsid w:val="00D17B92"/>
    <w:rsid w:val="00D2056D"/>
    <w:rsid w:val="00D20839"/>
    <w:rsid w:val="00D20A8A"/>
    <w:rsid w:val="00D20FE7"/>
    <w:rsid w:val="00D21281"/>
    <w:rsid w:val="00D218F8"/>
    <w:rsid w:val="00D21AA1"/>
    <w:rsid w:val="00D21B92"/>
    <w:rsid w:val="00D2214E"/>
    <w:rsid w:val="00D22831"/>
    <w:rsid w:val="00D22C44"/>
    <w:rsid w:val="00D22EBB"/>
    <w:rsid w:val="00D23BFD"/>
    <w:rsid w:val="00D23C53"/>
    <w:rsid w:val="00D2441D"/>
    <w:rsid w:val="00D24479"/>
    <w:rsid w:val="00D249E0"/>
    <w:rsid w:val="00D24C94"/>
    <w:rsid w:val="00D24DD0"/>
    <w:rsid w:val="00D24E0A"/>
    <w:rsid w:val="00D25D55"/>
    <w:rsid w:val="00D266D2"/>
    <w:rsid w:val="00D266E6"/>
    <w:rsid w:val="00D26AE6"/>
    <w:rsid w:val="00D26D93"/>
    <w:rsid w:val="00D26ED4"/>
    <w:rsid w:val="00D26F8D"/>
    <w:rsid w:val="00D27932"/>
    <w:rsid w:val="00D27C2B"/>
    <w:rsid w:val="00D30B42"/>
    <w:rsid w:val="00D30F38"/>
    <w:rsid w:val="00D31228"/>
    <w:rsid w:val="00D313B9"/>
    <w:rsid w:val="00D319AB"/>
    <w:rsid w:val="00D327B2"/>
    <w:rsid w:val="00D32AEC"/>
    <w:rsid w:val="00D32C9F"/>
    <w:rsid w:val="00D32EDF"/>
    <w:rsid w:val="00D33035"/>
    <w:rsid w:val="00D3310F"/>
    <w:rsid w:val="00D338C0"/>
    <w:rsid w:val="00D33B7B"/>
    <w:rsid w:val="00D342DB"/>
    <w:rsid w:val="00D34BA3"/>
    <w:rsid w:val="00D35B7D"/>
    <w:rsid w:val="00D36180"/>
    <w:rsid w:val="00D36519"/>
    <w:rsid w:val="00D36566"/>
    <w:rsid w:val="00D36A34"/>
    <w:rsid w:val="00D36A5C"/>
    <w:rsid w:val="00D36BD3"/>
    <w:rsid w:val="00D36F3A"/>
    <w:rsid w:val="00D37AEF"/>
    <w:rsid w:val="00D37B69"/>
    <w:rsid w:val="00D37DE0"/>
    <w:rsid w:val="00D40981"/>
    <w:rsid w:val="00D409B0"/>
    <w:rsid w:val="00D40EF0"/>
    <w:rsid w:val="00D416A9"/>
    <w:rsid w:val="00D41AF6"/>
    <w:rsid w:val="00D431F2"/>
    <w:rsid w:val="00D44426"/>
    <w:rsid w:val="00D44987"/>
    <w:rsid w:val="00D449C5"/>
    <w:rsid w:val="00D4505B"/>
    <w:rsid w:val="00D45723"/>
    <w:rsid w:val="00D4621C"/>
    <w:rsid w:val="00D46951"/>
    <w:rsid w:val="00D47D1D"/>
    <w:rsid w:val="00D47E8F"/>
    <w:rsid w:val="00D50130"/>
    <w:rsid w:val="00D50A6D"/>
    <w:rsid w:val="00D50C01"/>
    <w:rsid w:val="00D50D20"/>
    <w:rsid w:val="00D51232"/>
    <w:rsid w:val="00D51B56"/>
    <w:rsid w:val="00D520D4"/>
    <w:rsid w:val="00D524CC"/>
    <w:rsid w:val="00D52881"/>
    <w:rsid w:val="00D53405"/>
    <w:rsid w:val="00D537E2"/>
    <w:rsid w:val="00D53C2E"/>
    <w:rsid w:val="00D5509C"/>
    <w:rsid w:val="00D552CB"/>
    <w:rsid w:val="00D5532B"/>
    <w:rsid w:val="00D566E5"/>
    <w:rsid w:val="00D56A08"/>
    <w:rsid w:val="00D56A63"/>
    <w:rsid w:val="00D56ACD"/>
    <w:rsid w:val="00D56E36"/>
    <w:rsid w:val="00D57CB6"/>
    <w:rsid w:val="00D57CF8"/>
    <w:rsid w:val="00D604C7"/>
    <w:rsid w:val="00D60D30"/>
    <w:rsid w:val="00D615B2"/>
    <w:rsid w:val="00D61E7D"/>
    <w:rsid w:val="00D63E8E"/>
    <w:rsid w:val="00D6402F"/>
    <w:rsid w:val="00D64036"/>
    <w:rsid w:val="00D643A8"/>
    <w:rsid w:val="00D645F0"/>
    <w:rsid w:val="00D656B7"/>
    <w:rsid w:val="00D65B47"/>
    <w:rsid w:val="00D6603F"/>
    <w:rsid w:val="00D66A8F"/>
    <w:rsid w:val="00D66B3E"/>
    <w:rsid w:val="00D67077"/>
    <w:rsid w:val="00D670CD"/>
    <w:rsid w:val="00D7071F"/>
    <w:rsid w:val="00D70E99"/>
    <w:rsid w:val="00D71372"/>
    <w:rsid w:val="00D7232E"/>
    <w:rsid w:val="00D72736"/>
    <w:rsid w:val="00D72A3B"/>
    <w:rsid w:val="00D73094"/>
    <w:rsid w:val="00D7309C"/>
    <w:rsid w:val="00D73A04"/>
    <w:rsid w:val="00D746C6"/>
    <w:rsid w:val="00D74C77"/>
    <w:rsid w:val="00D75985"/>
    <w:rsid w:val="00D7620A"/>
    <w:rsid w:val="00D7675E"/>
    <w:rsid w:val="00D7755F"/>
    <w:rsid w:val="00D7758C"/>
    <w:rsid w:val="00D8050F"/>
    <w:rsid w:val="00D8067A"/>
    <w:rsid w:val="00D81F12"/>
    <w:rsid w:val="00D82295"/>
    <w:rsid w:val="00D82C85"/>
    <w:rsid w:val="00D82CFB"/>
    <w:rsid w:val="00D847E9"/>
    <w:rsid w:val="00D847F3"/>
    <w:rsid w:val="00D850BD"/>
    <w:rsid w:val="00D85603"/>
    <w:rsid w:val="00D85BA1"/>
    <w:rsid w:val="00D85EA1"/>
    <w:rsid w:val="00D86295"/>
    <w:rsid w:val="00D8699F"/>
    <w:rsid w:val="00D86CEF"/>
    <w:rsid w:val="00D90EFC"/>
    <w:rsid w:val="00D91653"/>
    <w:rsid w:val="00D91B8E"/>
    <w:rsid w:val="00D91E1D"/>
    <w:rsid w:val="00D91F7A"/>
    <w:rsid w:val="00D92353"/>
    <w:rsid w:val="00D926BD"/>
    <w:rsid w:val="00D927AF"/>
    <w:rsid w:val="00D92A9E"/>
    <w:rsid w:val="00D93814"/>
    <w:rsid w:val="00D95534"/>
    <w:rsid w:val="00D964E1"/>
    <w:rsid w:val="00D96528"/>
    <w:rsid w:val="00D96693"/>
    <w:rsid w:val="00D97631"/>
    <w:rsid w:val="00D978CF"/>
    <w:rsid w:val="00D97B6A"/>
    <w:rsid w:val="00D97D22"/>
    <w:rsid w:val="00DA01CF"/>
    <w:rsid w:val="00DA01F8"/>
    <w:rsid w:val="00DA09EC"/>
    <w:rsid w:val="00DA1146"/>
    <w:rsid w:val="00DA14DF"/>
    <w:rsid w:val="00DA1773"/>
    <w:rsid w:val="00DA1A91"/>
    <w:rsid w:val="00DA1E50"/>
    <w:rsid w:val="00DA25C1"/>
    <w:rsid w:val="00DA3938"/>
    <w:rsid w:val="00DA39AB"/>
    <w:rsid w:val="00DA3A77"/>
    <w:rsid w:val="00DA3FFF"/>
    <w:rsid w:val="00DA412F"/>
    <w:rsid w:val="00DA42EF"/>
    <w:rsid w:val="00DA4364"/>
    <w:rsid w:val="00DA4388"/>
    <w:rsid w:val="00DA45D9"/>
    <w:rsid w:val="00DA4976"/>
    <w:rsid w:val="00DA4BD5"/>
    <w:rsid w:val="00DA53CA"/>
    <w:rsid w:val="00DA5645"/>
    <w:rsid w:val="00DA57EA"/>
    <w:rsid w:val="00DA5B34"/>
    <w:rsid w:val="00DA6F64"/>
    <w:rsid w:val="00DA71E0"/>
    <w:rsid w:val="00DA772F"/>
    <w:rsid w:val="00DA781A"/>
    <w:rsid w:val="00DA7D4A"/>
    <w:rsid w:val="00DB00E5"/>
    <w:rsid w:val="00DB102B"/>
    <w:rsid w:val="00DB1747"/>
    <w:rsid w:val="00DB1949"/>
    <w:rsid w:val="00DB1BCD"/>
    <w:rsid w:val="00DB1C3B"/>
    <w:rsid w:val="00DB2C1D"/>
    <w:rsid w:val="00DB3C0C"/>
    <w:rsid w:val="00DB40F1"/>
    <w:rsid w:val="00DB4F2D"/>
    <w:rsid w:val="00DB5329"/>
    <w:rsid w:val="00DB55AE"/>
    <w:rsid w:val="00DB5BA0"/>
    <w:rsid w:val="00DB64CC"/>
    <w:rsid w:val="00DB671D"/>
    <w:rsid w:val="00DB6BA4"/>
    <w:rsid w:val="00DB6C03"/>
    <w:rsid w:val="00DB6C36"/>
    <w:rsid w:val="00DB6E03"/>
    <w:rsid w:val="00DB70D1"/>
    <w:rsid w:val="00DB7156"/>
    <w:rsid w:val="00DB7413"/>
    <w:rsid w:val="00DB7714"/>
    <w:rsid w:val="00DB79A2"/>
    <w:rsid w:val="00DB79E9"/>
    <w:rsid w:val="00DB7BB3"/>
    <w:rsid w:val="00DC0264"/>
    <w:rsid w:val="00DC07BE"/>
    <w:rsid w:val="00DC0BA8"/>
    <w:rsid w:val="00DC11CE"/>
    <w:rsid w:val="00DC18A6"/>
    <w:rsid w:val="00DC1CCA"/>
    <w:rsid w:val="00DC1E8B"/>
    <w:rsid w:val="00DC26F4"/>
    <w:rsid w:val="00DC3273"/>
    <w:rsid w:val="00DC428D"/>
    <w:rsid w:val="00DC4B9B"/>
    <w:rsid w:val="00DC5DEA"/>
    <w:rsid w:val="00DC5F8B"/>
    <w:rsid w:val="00DC60A6"/>
    <w:rsid w:val="00DC6B2B"/>
    <w:rsid w:val="00DC7718"/>
    <w:rsid w:val="00DC79E9"/>
    <w:rsid w:val="00DC7E96"/>
    <w:rsid w:val="00DD11A0"/>
    <w:rsid w:val="00DD13B4"/>
    <w:rsid w:val="00DD1A27"/>
    <w:rsid w:val="00DD1B02"/>
    <w:rsid w:val="00DD2657"/>
    <w:rsid w:val="00DD36BD"/>
    <w:rsid w:val="00DD3AD0"/>
    <w:rsid w:val="00DD3E42"/>
    <w:rsid w:val="00DD3F36"/>
    <w:rsid w:val="00DD4A0E"/>
    <w:rsid w:val="00DD5096"/>
    <w:rsid w:val="00DD5495"/>
    <w:rsid w:val="00DD5B18"/>
    <w:rsid w:val="00DD5DA4"/>
    <w:rsid w:val="00DD5FF6"/>
    <w:rsid w:val="00DD63D1"/>
    <w:rsid w:val="00DD6732"/>
    <w:rsid w:val="00DD764E"/>
    <w:rsid w:val="00DD77F2"/>
    <w:rsid w:val="00DE00A0"/>
    <w:rsid w:val="00DE096E"/>
    <w:rsid w:val="00DE0A72"/>
    <w:rsid w:val="00DE0AE4"/>
    <w:rsid w:val="00DE142B"/>
    <w:rsid w:val="00DE1D71"/>
    <w:rsid w:val="00DE1E65"/>
    <w:rsid w:val="00DE1F42"/>
    <w:rsid w:val="00DE2935"/>
    <w:rsid w:val="00DE2979"/>
    <w:rsid w:val="00DE2A11"/>
    <w:rsid w:val="00DE2D34"/>
    <w:rsid w:val="00DE345E"/>
    <w:rsid w:val="00DE3CF1"/>
    <w:rsid w:val="00DE3F7E"/>
    <w:rsid w:val="00DE4D83"/>
    <w:rsid w:val="00DE4E5D"/>
    <w:rsid w:val="00DE4F75"/>
    <w:rsid w:val="00DE53AE"/>
    <w:rsid w:val="00DE53D5"/>
    <w:rsid w:val="00DE58E0"/>
    <w:rsid w:val="00DE5EA1"/>
    <w:rsid w:val="00DE67C0"/>
    <w:rsid w:val="00DE7608"/>
    <w:rsid w:val="00DE77DE"/>
    <w:rsid w:val="00DE7CC5"/>
    <w:rsid w:val="00DF0124"/>
    <w:rsid w:val="00DF0964"/>
    <w:rsid w:val="00DF127F"/>
    <w:rsid w:val="00DF1635"/>
    <w:rsid w:val="00DF2103"/>
    <w:rsid w:val="00DF2875"/>
    <w:rsid w:val="00DF3AE7"/>
    <w:rsid w:val="00DF3E38"/>
    <w:rsid w:val="00DF4060"/>
    <w:rsid w:val="00DF4737"/>
    <w:rsid w:val="00DF49BA"/>
    <w:rsid w:val="00DF4D50"/>
    <w:rsid w:val="00DF574A"/>
    <w:rsid w:val="00DF5D7A"/>
    <w:rsid w:val="00DF6382"/>
    <w:rsid w:val="00DF7263"/>
    <w:rsid w:val="00DF79B3"/>
    <w:rsid w:val="00E00A5C"/>
    <w:rsid w:val="00E00EC6"/>
    <w:rsid w:val="00E01E69"/>
    <w:rsid w:val="00E01F66"/>
    <w:rsid w:val="00E02523"/>
    <w:rsid w:val="00E02D8C"/>
    <w:rsid w:val="00E0300C"/>
    <w:rsid w:val="00E03540"/>
    <w:rsid w:val="00E03650"/>
    <w:rsid w:val="00E03BB5"/>
    <w:rsid w:val="00E0460D"/>
    <w:rsid w:val="00E04E89"/>
    <w:rsid w:val="00E05C4E"/>
    <w:rsid w:val="00E0677A"/>
    <w:rsid w:val="00E06780"/>
    <w:rsid w:val="00E06D64"/>
    <w:rsid w:val="00E06F35"/>
    <w:rsid w:val="00E076D2"/>
    <w:rsid w:val="00E10BF2"/>
    <w:rsid w:val="00E1125F"/>
    <w:rsid w:val="00E11FAD"/>
    <w:rsid w:val="00E130B8"/>
    <w:rsid w:val="00E13856"/>
    <w:rsid w:val="00E13AAB"/>
    <w:rsid w:val="00E14CDC"/>
    <w:rsid w:val="00E14DD0"/>
    <w:rsid w:val="00E155B5"/>
    <w:rsid w:val="00E15E3E"/>
    <w:rsid w:val="00E16A1E"/>
    <w:rsid w:val="00E16CE0"/>
    <w:rsid w:val="00E17196"/>
    <w:rsid w:val="00E2094D"/>
    <w:rsid w:val="00E20C05"/>
    <w:rsid w:val="00E213E8"/>
    <w:rsid w:val="00E2142F"/>
    <w:rsid w:val="00E21E88"/>
    <w:rsid w:val="00E22A34"/>
    <w:rsid w:val="00E22AA0"/>
    <w:rsid w:val="00E22D0A"/>
    <w:rsid w:val="00E231E1"/>
    <w:rsid w:val="00E236C5"/>
    <w:rsid w:val="00E23861"/>
    <w:rsid w:val="00E24A9C"/>
    <w:rsid w:val="00E24FC8"/>
    <w:rsid w:val="00E2561C"/>
    <w:rsid w:val="00E25AEF"/>
    <w:rsid w:val="00E25D02"/>
    <w:rsid w:val="00E25D05"/>
    <w:rsid w:val="00E2603E"/>
    <w:rsid w:val="00E268B0"/>
    <w:rsid w:val="00E268D8"/>
    <w:rsid w:val="00E26AA1"/>
    <w:rsid w:val="00E26BE2"/>
    <w:rsid w:val="00E27A30"/>
    <w:rsid w:val="00E300DC"/>
    <w:rsid w:val="00E302DD"/>
    <w:rsid w:val="00E30487"/>
    <w:rsid w:val="00E30BA7"/>
    <w:rsid w:val="00E30BCB"/>
    <w:rsid w:val="00E30EA7"/>
    <w:rsid w:val="00E3106B"/>
    <w:rsid w:val="00E31C03"/>
    <w:rsid w:val="00E33050"/>
    <w:rsid w:val="00E341BF"/>
    <w:rsid w:val="00E343A4"/>
    <w:rsid w:val="00E34A1A"/>
    <w:rsid w:val="00E353F5"/>
    <w:rsid w:val="00E35A2D"/>
    <w:rsid w:val="00E35FA2"/>
    <w:rsid w:val="00E3616E"/>
    <w:rsid w:val="00E36A68"/>
    <w:rsid w:val="00E36E06"/>
    <w:rsid w:val="00E37696"/>
    <w:rsid w:val="00E3782C"/>
    <w:rsid w:val="00E37EF3"/>
    <w:rsid w:val="00E37F69"/>
    <w:rsid w:val="00E40F85"/>
    <w:rsid w:val="00E41ACF"/>
    <w:rsid w:val="00E41E15"/>
    <w:rsid w:val="00E41F43"/>
    <w:rsid w:val="00E42DE8"/>
    <w:rsid w:val="00E437C6"/>
    <w:rsid w:val="00E43B9A"/>
    <w:rsid w:val="00E45870"/>
    <w:rsid w:val="00E45D08"/>
    <w:rsid w:val="00E47FB4"/>
    <w:rsid w:val="00E50075"/>
    <w:rsid w:val="00E50443"/>
    <w:rsid w:val="00E50A0B"/>
    <w:rsid w:val="00E51999"/>
    <w:rsid w:val="00E530F3"/>
    <w:rsid w:val="00E53547"/>
    <w:rsid w:val="00E538D0"/>
    <w:rsid w:val="00E54158"/>
    <w:rsid w:val="00E54D4F"/>
    <w:rsid w:val="00E54DAF"/>
    <w:rsid w:val="00E5502D"/>
    <w:rsid w:val="00E55214"/>
    <w:rsid w:val="00E55FCF"/>
    <w:rsid w:val="00E57FB1"/>
    <w:rsid w:val="00E6009D"/>
    <w:rsid w:val="00E60481"/>
    <w:rsid w:val="00E60631"/>
    <w:rsid w:val="00E60B18"/>
    <w:rsid w:val="00E6121C"/>
    <w:rsid w:val="00E6140C"/>
    <w:rsid w:val="00E6214E"/>
    <w:rsid w:val="00E621E4"/>
    <w:rsid w:val="00E62602"/>
    <w:rsid w:val="00E6264C"/>
    <w:rsid w:val="00E62896"/>
    <w:rsid w:val="00E631E3"/>
    <w:rsid w:val="00E63E7A"/>
    <w:rsid w:val="00E63F63"/>
    <w:rsid w:val="00E65419"/>
    <w:rsid w:val="00E6587F"/>
    <w:rsid w:val="00E66168"/>
    <w:rsid w:val="00E66279"/>
    <w:rsid w:val="00E66959"/>
    <w:rsid w:val="00E66B89"/>
    <w:rsid w:val="00E673C9"/>
    <w:rsid w:val="00E6750B"/>
    <w:rsid w:val="00E708B0"/>
    <w:rsid w:val="00E70DEF"/>
    <w:rsid w:val="00E70F32"/>
    <w:rsid w:val="00E71584"/>
    <w:rsid w:val="00E7189E"/>
    <w:rsid w:val="00E721B0"/>
    <w:rsid w:val="00E72243"/>
    <w:rsid w:val="00E72311"/>
    <w:rsid w:val="00E73540"/>
    <w:rsid w:val="00E73B70"/>
    <w:rsid w:val="00E73B74"/>
    <w:rsid w:val="00E73CA4"/>
    <w:rsid w:val="00E73CD4"/>
    <w:rsid w:val="00E73DCD"/>
    <w:rsid w:val="00E73F78"/>
    <w:rsid w:val="00E743B1"/>
    <w:rsid w:val="00E7497E"/>
    <w:rsid w:val="00E74BD0"/>
    <w:rsid w:val="00E75146"/>
    <w:rsid w:val="00E75448"/>
    <w:rsid w:val="00E7550C"/>
    <w:rsid w:val="00E76321"/>
    <w:rsid w:val="00E76BF2"/>
    <w:rsid w:val="00E76D7D"/>
    <w:rsid w:val="00E7704A"/>
    <w:rsid w:val="00E77787"/>
    <w:rsid w:val="00E77ED4"/>
    <w:rsid w:val="00E77F3A"/>
    <w:rsid w:val="00E80379"/>
    <w:rsid w:val="00E8055F"/>
    <w:rsid w:val="00E806BC"/>
    <w:rsid w:val="00E8165C"/>
    <w:rsid w:val="00E81715"/>
    <w:rsid w:val="00E82286"/>
    <w:rsid w:val="00E828E7"/>
    <w:rsid w:val="00E82DC8"/>
    <w:rsid w:val="00E83373"/>
    <w:rsid w:val="00E837B6"/>
    <w:rsid w:val="00E83DAA"/>
    <w:rsid w:val="00E85CAB"/>
    <w:rsid w:val="00E85D45"/>
    <w:rsid w:val="00E86210"/>
    <w:rsid w:val="00E86E0D"/>
    <w:rsid w:val="00E87150"/>
    <w:rsid w:val="00E871E7"/>
    <w:rsid w:val="00E872C8"/>
    <w:rsid w:val="00E87E2B"/>
    <w:rsid w:val="00E87F76"/>
    <w:rsid w:val="00E90240"/>
    <w:rsid w:val="00E9030D"/>
    <w:rsid w:val="00E90A36"/>
    <w:rsid w:val="00E90D9C"/>
    <w:rsid w:val="00E90E68"/>
    <w:rsid w:val="00E9163F"/>
    <w:rsid w:val="00E9243E"/>
    <w:rsid w:val="00E9289E"/>
    <w:rsid w:val="00E928B7"/>
    <w:rsid w:val="00E931D4"/>
    <w:rsid w:val="00E934C8"/>
    <w:rsid w:val="00E93A31"/>
    <w:rsid w:val="00E942D7"/>
    <w:rsid w:val="00E94357"/>
    <w:rsid w:val="00E954F7"/>
    <w:rsid w:val="00E956DB"/>
    <w:rsid w:val="00E95C6A"/>
    <w:rsid w:val="00E96750"/>
    <w:rsid w:val="00E96E79"/>
    <w:rsid w:val="00E970C1"/>
    <w:rsid w:val="00E970C9"/>
    <w:rsid w:val="00E975B4"/>
    <w:rsid w:val="00E9760D"/>
    <w:rsid w:val="00E97845"/>
    <w:rsid w:val="00EA0768"/>
    <w:rsid w:val="00EA0E29"/>
    <w:rsid w:val="00EA1562"/>
    <w:rsid w:val="00EA165D"/>
    <w:rsid w:val="00EA167B"/>
    <w:rsid w:val="00EA17A2"/>
    <w:rsid w:val="00EA20F2"/>
    <w:rsid w:val="00EA2356"/>
    <w:rsid w:val="00EA27E8"/>
    <w:rsid w:val="00EA2B5F"/>
    <w:rsid w:val="00EA3816"/>
    <w:rsid w:val="00EA4500"/>
    <w:rsid w:val="00EA49B3"/>
    <w:rsid w:val="00EA543F"/>
    <w:rsid w:val="00EA5A73"/>
    <w:rsid w:val="00EA5BFA"/>
    <w:rsid w:val="00EA6A0A"/>
    <w:rsid w:val="00EA6CBB"/>
    <w:rsid w:val="00EA7240"/>
    <w:rsid w:val="00EA72CB"/>
    <w:rsid w:val="00EA734B"/>
    <w:rsid w:val="00EA7351"/>
    <w:rsid w:val="00EA755C"/>
    <w:rsid w:val="00EB082F"/>
    <w:rsid w:val="00EB148F"/>
    <w:rsid w:val="00EB1676"/>
    <w:rsid w:val="00EB1FD8"/>
    <w:rsid w:val="00EB2A8A"/>
    <w:rsid w:val="00EB2B7D"/>
    <w:rsid w:val="00EB35C0"/>
    <w:rsid w:val="00EB3D31"/>
    <w:rsid w:val="00EB3E3A"/>
    <w:rsid w:val="00EB448B"/>
    <w:rsid w:val="00EB44F0"/>
    <w:rsid w:val="00EB4CF4"/>
    <w:rsid w:val="00EB4EA1"/>
    <w:rsid w:val="00EB4FEB"/>
    <w:rsid w:val="00EB53B0"/>
    <w:rsid w:val="00EB55C6"/>
    <w:rsid w:val="00EB6633"/>
    <w:rsid w:val="00EB69F9"/>
    <w:rsid w:val="00EB6E6A"/>
    <w:rsid w:val="00EB7015"/>
    <w:rsid w:val="00EB7D20"/>
    <w:rsid w:val="00EB7F7F"/>
    <w:rsid w:val="00EC05AB"/>
    <w:rsid w:val="00EC06C2"/>
    <w:rsid w:val="00EC0B46"/>
    <w:rsid w:val="00EC0ED8"/>
    <w:rsid w:val="00EC0EDB"/>
    <w:rsid w:val="00EC1255"/>
    <w:rsid w:val="00EC1517"/>
    <w:rsid w:val="00EC1D36"/>
    <w:rsid w:val="00EC241B"/>
    <w:rsid w:val="00EC2B73"/>
    <w:rsid w:val="00EC3132"/>
    <w:rsid w:val="00EC482A"/>
    <w:rsid w:val="00EC4D51"/>
    <w:rsid w:val="00EC58F9"/>
    <w:rsid w:val="00EC5CDA"/>
    <w:rsid w:val="00EC6101"/>
    <w:rsid w:val="00EC6FCD"/>
    <w:rsid w:val="00EC7530"/>
    <w:rsid w:val="00EC7C22"/>
    <w:rsid w:val="00EC7FCD"/>
    <w:rsid w:val="00ED018C"/>
    <w:rsid w:val="00ED0503"/>
    <w:rsid w:val="00ED07CB"/>
    <w:rsid w:val="00ED0F73"/>
    <w:rsid w:val="00ED17D7"/>
    <w:rsid w:val="00ED269E"/>
    <w:rsid w:val="00ED38E8"/>
    <w:rsid w:val="00ED3AEF"/>
    <w:rsid w:val="00ED3E9E"/>
    <w:rsid w:val="00ED53D0"/>
    <w:rsid w:val="00ED557C"/>
    <w:rsid w:val="00ED5621"/>
    <w:rsid w:val="00ED608F"/>
    <w:rsid w:val="00ED6288"/>
    <w:rsid w:val="00ED6531"/>
    <w:rsid w:val="00ED6DAE"/>
    <w:rsid w:val="00ED70C6"/>
    <w:rsid w:val="00ED72F6"/>
    <w:rsid w:val="00ED787A"/>
    <w:rsid w:val="00ED7AE1"/>
    <w:rsid w:val="00EE01CB"/>
    <w:rsid w:val="00EE0620"/>
    <w:rsid w:val="00EE0669"/>
    <w:rsid w:val="00EE0E98"/>
    <w:rsid w:val="00EE1078"/>
    <w:rsid w:val="00EE144E"/>
    <w:rsid w:val="00EE15D4"/>
    <w:rsid w:val="00EE19AD"/>
    <w:rsid w:val="00EE1B05"/>
    <w:rsid w:val="00EE1BE2"/>
    <w:rsid w:val="00EE1FEA"/>
    <w:rsid w:val="00EE2E8B"/>
    <w:rsid w:val="00EE2EDF"/>
    <w:rsid w:val="00EE337A"/>
    <w:rsid w:val="00EE34D5"/>
    <w:rsid w:val="00EE3548"/>
    <w:rsid w:val="00EE3C6E"/>
    <w:rsid w:val="00EE4FB6"/>
    <w:rsid w:val="00EE5201"/>
    <w:rsid w:val="00EE55CD"/>
    <w:rsid w:val="00EE58D6"/>
    <w:rsid w:val="00EE5F12"/>
    <w:rsid w:val="00EE5FC2"/>
    <w:rsid w:val="00EE695E"/>
    <w:rsid w:val="00EE6DC3"/>
    <w:rsid w:val="00EE7423"/>
    <w:rsid w:val="00EE7C3D"/>
    <w:rsid w:val="00EE7CCB"/>
    <w:rsid w:val="00EF1373"/>
    <w:rsid w:val="00EF1C19"/>
    <w:rsid w:val="00EF2374"/>
    <w:rsid w:val="00EF2A90"/>
    <w:rsid w:val="00EF3653"/>
    <w:rsid w:val="00EF3779"/>
    <w:rsid w:val="00EF3F77"/>
    <w:rsid w:val="00EF4782"/>
    <w:rsid w:val="00EF501E"/>
    <w:rsid w:val="00EF537D"/>
    <w:rsid w:val="00EF5AF9"/>
    <w:rsid w:val="00EF5EA5"/>
    <w:rsid w:val="00EF607C"/>
    <w:rsid w:val="00EF64FB"/>
    <w:rsid w:val="00EF65A0"/>
    <w:rsid w:val="00EF72F8"/>
    <w:rsid w:val="00EF7605"/>
    <w:rsid w:val="00EF7844"/>
    <w:rsid w:val="00EF78FD"/>
    <w:rsid w:val="00F00050"/>
    <w:rsid w:val="00F008C9"/>
    <w:rsid w:val="00F00BF8"/>
    <w:rsid w:val="00F00D2B"/>
    <w:rsid w:val="00F00F78"/>
    <w:rsid w:val="00F01655"/>
    <w:rsid w:val="00F016D3"/>
    <w:rsid w:val="00F01F53"/>
    <w:rsid w:val="00F020DB"/>
    <w:rsid w:val="00F02ADC"/>
    <w:rsid w:val="00F02CAA"/>
    <w:rsid w:val="00F02DB2"/>
    <w:rsid w:val="00F031F5"/>
    <w:rsid w:val="00F042F4"/>
    <w:rsid w:val="00F04FEF"/>
    <w:rsid w:val="00F0565E"/>
    <w:rsid w:val="00F0711B"/>
    <w:rsid w:val="00F07A7E"/>
    <w:rsid w:val="00F07C20"/>
    <w:rsid w:val="00F1001D"/>
    <w:rsid w:val="00F10625"/>
    <w:rsid w:val="00F1086F"/>
    <w:rsid w:val="00F11063"/>
    <w:rsid w:val="00F117B7"/>
    <w:rsid w:val="00F11C6A"/>
    <w:rsid w:val="00F12168"/>
    <w:rsid w:val="00F12D16"/>
    <w:rsid w:val="00F1314C"/>
    <w:rsid w:val="00F1333F"/>
    <w:rsid w:val="00F1342B"/>
    <w:rsid w:val="00F1384B"/>
    <w:rsid w:val="00F13AA8"/>
    <w:rsid w:val="00F13AFF"/>
    <w:rsid w:val="00F153CF"/>
    <w:rsid w:val="00F1574C"/>
    <w:rsid w:val="00F1639F"/>
    <w:rsid w:val="00F16671"/>
    <w:rsid w:val="00F170E3"/>
    <w:rsid w:val="00F175D9"/>
    <w:rsid w:val="00F20CCA"/>
    <w:rsid w:val="00F2101B"/>
    <w:rsid w:val="00F21A45"/>
    <w:rsid w:val="00F23530"/>
    <w:rsid w:val="00F235B3"/>
    <w:rsid w:val="00F240AC"/>
    <w:rsid w:val="00F24CF9"/>
    <w:rsid w:val="00F24FCC"/>
    <w:rsid w:val="00F25138"/>
    <w:rsid w:val="00F252B6"/>
    <w:rsid w:val="00F253C5"/>
    <w:rsid w:val="00F25F4B"/>
    <w:rsid w:val="00F26317"/>
    <w:rsid w:val="00F263A9"/>
    <w:rsid w:val="00F26509"/>
    <w:rsid w:val="00F267BF"/>
    <w:rsid w:val="00F26DE4"/>
    <w:rsid w:val="00F270DF"/>
    <w:rsid w:val="00F2767A"/>
    <w:rsid w:val="00F2790A"/>
    <w:rsid w:val="00F3071B"/>
    <w:rsid w:val="00F30858"/>
    <w:rsid w:val="00F30C00"/>
    <w:rsid w:val="00F30D1D"/>
    <w:rsid w:val="00F30D4F"/>
    <w:rsid w:val="00F3147C"/>
    <w:rsid w:val="00F31C8B"/>
    <w:rsid w:val="00F31F62"/>
    <w:rsid w:val="00F321CD"/>
    <w:rsid w:val="00F32B06"/>
    <w:rsid w:val="00F332F4"/>
    <w:rsid w:val="00F338A8"/>
    <w:rsid w:val="00F33B37"/>
    <w:rsid w:val="00F33B9C"/>
    <w:rsid w:val="00F33E3E"/>
    <w:rsid w:val="00F33E9D"/>
    <w:rsid w:val="00F342CC"/>
    <w:rsid w:val="00F346C1"/>
    <w:rsid w:val="00F34CF0"/>
    <w:rsid w:val="00F354FE"/>
    <w:rsid w:val="00F35D86"/>
    <w:rsid w:val="00F36129"/>
    <w:rsid w:val="00F36609"/>
    <w:rsid w:val="00F36763"/>
    <w:rsid w:val="00F36BF2"/>
    <w:rsid w:val="00F372D1"/>
    <w:rsid w:val="00F37426"/>
    <w:rsid w:val="00F377D2"/>
    <w:rsid w:val="00F37B42"/>
    <w:rsid w:val="00F401D8"/>
    <w:rsid w:val="00F4135C"/>
    <w:rsid w:val="00F4166B"/>
    <w:rsid w:val="00F41C54"/>
    <w:rsid w:val="00F41D61"/>
    <w:rsid w:val="00F41FFB"/>
    <w:rsid w:val="00F423AC"/>
    <w:rsid w:val="00F426AF"/>
    <w:rsid w:val="00F427BF"/>
    <w:rsid w:val="00F42918"/>
    <w:rsid w:val="00F43602"/>
    <w:rsid w:val="00F44031"/>
    <w:rsid w:val="00F447BE"/>
    <w:rsid w:val="00F4490F"/>
    <w:rsid w:val="00F44FF1"/>
    <w:rsid w:val="00F45323"/>
    <w:rsid w:val="00F4557C"/>
    <w:rsid w:val="00F4560F"/>
    <w:rsid w:val="00F459E4"/>
    <w:rsid w:val="00F45A33"/>
    <w:rsid w:val="00F45BCC"/>
    <w:rsid w:val="00F45DA9"/>
    <w:rsid w:val="00F460CB"/>
    <w:rsid w:val="00F4643D"/>
    <w:rsid w:val="00F46B90"/>
    <w:rsid w:val="00F46BAB"/>
    <w:rsid w:val="00F46C80"/>
    <w:rsid w:val="00F46D53"/>
    <w:rsid w:val="00F46F3A"/>
    <w:rsid w:val="00F47632"/>
    <w:rsid w:val="00F476F9"/>
    <w:rsid w:val="00F4788D"/>
    <w:rsid w:val="00F50308"/>
    <w:rsid w:val="00F505F7"/>
    <w:rsid w:val="00F50D37"/>
    <w:rsid w:val="00F5148E"/>
    <w:rsid w:val="00F51FDD"/>
    <w:rsid w:val="00F5205D"/>
    <w:rsid w:val="00F52673"/>
    <w:rsid w:val="00F526CC"/>
    <w:rsid w:val="00F52FCD"/>
    <w:rsid w:val="00F534CF"/>
    <w:rsid w:val="00F53C79"/>
    <w:rsid w:val="00F53CB0"/>
    <w:rsid w:val="00F53F1D"/>
    <w:rsid w:val="00F543DC"/>
    <w:rsid w:val="00F5444B"/>
    <w:rsid w:val="00F544CE"/>
    <w:rsid w:val="00F5499B"/>
    <w:rsid w:val="00F54B0E"/>
    <w:rsid w:val="00F54F46"/>
    <w:rsid w:val="00F55DEC"/>
    <w:rsid w:val="00F56245"/>
    <w:rsid w:val="00F56278"/>
    <w:rsid w:val="00F56354"/>
    <w:rsid w:val="00F56518"/>
    <w:rsid w:val="00F56690"/>
    <w:rsid w:val="00F568F0"/>
    <w:rsid w:val="00F56F30"/>
    <w:rsid w:val="00F56F6F"/>
    <w:rsid w:val="00F574B3"/>
    <w:rsid w:val="00F5763D"/>
    <w:rsid w:val="00F57BCD"/>
    <w:rsid w:val="00F60425"/>
    <w:rsid w:val="00F60551"/>
    <w:rsid w:val="00F61139"/>
    <w:rsid w:val="00F61971"/>
    <w:rsid w:val="00F62EA2"/>
    <w:rsid w:val="00F62FA2"/>
    <w:rsid w:val="00F64235"/>
    <w:rsid w:val="00F64284"/>
    <w:rsid w:val="00F64A9D"/>
    <w:rsid w:val="00F64AA2"/>
    <w:rsid w:val="00F64B2A"/>
    <w:rsid w:val="00F64FFC"/>
    <w:rsid w:val="00F65FFE"/>
    <w:rsid w:val="00F66B35"/>
    <w:rsid w:val="00F66D35"/>
    <w:rsid w:val="00F67660"/>
    <w:rsid w:val="00F67D1D"/>
    <w:rsid w:val="00F67E92"/>
    <w:rsid w:val="00F67EA0"/>
    <w:rsid w:val="00F70154"/>
    <w:rsid w:val="00F70520"/>
    <w:rsid w:val="00F70F70"/>
    <w:rsid w:val="00F710B5"/>
    <w:rsid w:val="00F71729"/>
    <w:rsid w:val="00F71811"/>
    <w:rsid w:val="00F719AC"/>
    <w:rsid w:val="00F71B72"/>
    <w:rsid w:val="00F71DBC"/>
    <w:rsid w:val="00F71E9A"/>
    <w:rsid w:val="00F71ED7"/>
    <w:rsid w:val="00F725F1"/>
    <w:rsid w:val="00F7306F"/>
    <w:rsid w:val="00F734DF"/>
    <w:rsid w:val="00F73512"/>
    <w:rsid w:val="00F7372E"/>
    <w:rsid w:val="00F73805"/>
    <w:rsid w:val="00F7397E"/>
    <w:rsid w:val="00F73BC6"/>
    <w:rsid w:val="00F7445F"/>
    <w:rsid w:val="00F74663"/>
    <w:rsid w:val="00F7490B"/>
    <w:rsid w:val="00F74F6F"/>
    <w:rsid w:val="00F74FC6"/>
    <w:rsid w:val="00F75337"/>
    <w:rsid w:val="00F756FA"/>
    <w:rsid w:val="00F757BC"/>
    <w:rsid w:val="00F757CE"/>
    <w:rsid w:val="00F758C8"/>
    <w:rsid w:val="00F75F27"/>
    <w:rsid w:val="00F76699"/>
    <w:rsid w:val="00F76FE7"/>
    <w:rsid w:val="00F76FF8"/>
    <w:rsid w:val="00F775E2"/>
    <w:rsid w:val="00F7780E"/>
    <w:rsid w:val="00F77B04"/>
    <w:rsid w:val="00F8003C"/>
    <w:rsid w:val="00F80701"/>
    <w:rsid w:val="00F807FB"/>
    <w:rsid w:val="00F80D8A"/>
    <w:rsid w:val="00F80FB3"/>
    <w:rsid w:val="00F8145A"/>
    <w:rsid w:val="00F81A18"/>
    <w:rsid w:val="00F8254C"/>
    <w:rsid w:val="00F83737"/>
    <w:rsid w:val="00F83781"/>
    <w:rsid w:val="00F83A8E"/>
    <w:rsid w:val="00F843AF"/>
    <w:rsid w:val="00F84A73"/>
    <w:rsid w:val="00F85A0B"/>
    <w:rsid w:val="00F85CAD"/>
    <w:rsid w:val="00F86D69"/>
    <w:rsid w:val="00F8718B"/>
    <w:rsid w:val="00F8787A"/>
    <w:rsid w:val="00F90B25"/>
    <w:rsid w:val="00F90E61"/>
    <w:rsid w:val="00F91BF2"/>
    <w:rsid w:val="00F91C4F"/>
    <w:rsid w:val="00F91C9B"/>
    <w:rsid w:val="00F92676"/>
    <w:rsid w:val="00F926C7"/>
    <w:rsid w:val="00F93AB4"/>
    <w:rsid w:val="00F93DDA"/>
    <w:rsid w:val="00F93E54"/>
    <w:rsid w:val="00F942FA"/>
    <w:rsid w:val="00F946A5"/>
    <w:rsid w:val="00F9474F"/>
    <w:rsid w:val="00F94ABE"/>
    <w:rsid w:val="00F95283"/>
    <w:rsid w:val="00F96173"/>
    <w:rsid w:val="00F96679"/>
    <w:rsid w:val="00F96B50"/>
    <w:rsid w:val="00F96F94"/>
    <w:rsid w:val="00F971B6"/>
    <w:rsid w:val="00F9725D"/>
    <w:rsid w:val="00F9725F"/>
    <w:rsid w:val="00F97471"/>
    <w:rsid w:val="00F97591"/>
    <w:rsid w:val="00F97607"/>
    <w:rsid w:val="00FA0E9B"/>
    <w:rsid w:val="00FA1554"/>
    <w:rsid w:val="00FA2218"/>
    <w:rsid w:val="00FA28A3"/>
    <w:rsid w:val="00FA2E0F"/>
    <w:rsid w:val="00FA313A"/>
    <w:rsid w:val="00FA3394"/>
    <w:rsid w:val="00FA39C6"/>
    <w:rsid w:val="00FA42A6"/>
    <w:rsid w:val="00FA4878"/>
    <w:rsid w:val="00FA4A3B"/>
    <w:rsid w:val="00FA4C3C"/>
    <w:rsid w:val="00FA4CDB"/>
    <w:rsid w:val="00FA5993"/>
    <w:rsid w:val="00FA5D45"/>
    <w:rsid w:val="00FA6013"/>
    <w:rsid w:val="00FA707A"/>
    <w:rsid w:val="00FA75EF"/>
    <w:rsid w:val="00FA7885"/>
    <w:rsid w:val="00FA788F"/>
    <w:rsid w:val="00FA7BEC"/>
    <w:rsid w:val="00FA7FC6"/>
    <w:rsid w:val="00FB0382"/>
    <w:rsid w:val="00FB04F8"/>
    <w:rsid w:val="00FB2132"/>
    <w:rsid w:val="00FB35C5"/>
    <w:rsid w:val="00FB3FB4"/>
    <w:rsid w:val="00FB47F6"/>
    <w:rsid w:val="00FB4F46"/>
    <w:rsid w:val="00FB5612"/>
    <w:rsid w:val="00FB5AF7"/>
    <w:rsid w:val="00FC11E0"/>
    <w:rsid w:val="00FC3F86"/>
    <w:rsid w:val="00FC40CF"/>
    <w:rsid w:val="00FC4B0C"/>
    <w:rsid w:val="00FC4DC9"/>
    <w:rsid w:val="00FC4F0B"/>
    <w:rsid w:val="00FC5448"/>
    <w:rsid w:val="00FC5636"/>
    <w:rsid w:val="00FC5A59"/>
    <w:rsid w:val="00FC5D24"/>
    <w:rsid w:val="00FC5F95"/>
    <w:rsid w:val="00FC6931"/>
    <w:rsid w:val="00FC6A32"/>
    <w:rsid w:val="00FC6B1A"/>
    <w:rsid w:val="00FC7207"/>
    <w:rsid w:val="00FD0121"/>
    <w:rsid w:val="00FD0159"/>
    <w:rsid w:val="00FD0B60"/>
    <w:rsid w:val="00FD0D13"/>
    <w:rsid w:val="00FD1746"/>
    <w:rsid w:val="00FD2168"/>
    <w:rsid w:val="00FD25FA"/>
    <w:rsid w:val="00FD27E9"/>
    <w:rsid w:val="00FD31FC"/>
    <w:rsid w:val="00FD3210"/>
    <w:rsid w:val="00FD5237"/>
    <w:rsid w:val="00FD5354"/>
    <w:rsid w:val="00FD540A"/>
    <w:rsid w:val="00FD55DE"/>
    <w:rsid w:val="00FD5878"/>
    <w:rsid w:val="00FD5FF2"/>
    <w:rsid w:val="00FD7DFE"/>
    <w:rsid w:val="00FE028E"/>
    <w:rsid w:val="00FE1B99"/>
    <w:rsid w:val="00FE252D"/>
    <w:rsid w:val="00FE2905"/>
    <w:rsid w:val="00FE29C0"/>
    <w:rsid w:val="00FE2A94"/>
    <w:rsid w:val="00FE2C37"/>
    <w:rsid w:val="00FE38AD"/>
    <w:rsid w:val="00FE3B73"/>
    <w:rsid w:val="00FE4354"/>
    <w:rsid w:val="00FE4B19"/>
    <w:rsid w:val="00FE580E"/>
    <w:rsid w:val="00FE5C58"/>
    <w:rsid w:val="00FE5CFF"/>
    <w:rsid w:val="00FE6423"/>
    <w:rsid w:val="00FE6528"/>
    <w:rsid w:val="00FE6582"/>
    <w:rsid w:val="00FE6B28"/>
    <w:rsid w:val="00FE6D95"/>
    <w:rsid w:val="00FE6E49"/>
    <w:rsid w:val="00FE7402"/>
    <w:rsid w:val="00FE7B98"/>
    <w:rsid w:val="00FE7BCE"/>
    <w:rsid w:val="00FE7D12"/>
    <w:rsid w:val="00FE7D2D"/>
    <w:rsid w:val="00FE7FF3"/>
    <w:rsid w:val="00FF08FE"/>
    <w:rsid w:val="00FF0B90"/>
    <w:rsid w:val="00FF0E51"/>
    <w:rsid w:val="00FF225F"/>
    <w:rsid w:val="00FF25E2"/>
    <w:rsid w:val="00FF30E0"/>
    <w:rsid w:val="00FF35B3"/>
    <w:rsid w:val="00FF369F"/>
    <w:rsid w:val="00FF489D"/>
    <w:rsid w:val="00FF4FD7"/>
    <w:rsid w:val="00FF51B9"/>
    <w:rsid w:val="00FF5CA8"/>
    <w:rsid w:val="00FF67DA"/>
    <w:rsid w:val="00FF685E"/>
    <w:rsid w:val="00FF6D6B"/>
    <w:rsid w:val="00FF72DC"/>
    <w:rsid w:val="00FF79EF"/>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57AB1FB"/>
  <w15:chartTrackingRefBased/>
  <w15:docId w15:val="{81764136-6FA9-435A-9FF5-3CE6A9EE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690"/>
  </w:style>
  <w:style w:type="paragraph" w:styleId="Heading1">
    <w:name w:val="heading 1"/>
    <w:basedOn w:val="Normal"/>
    <w:next w:val="Normal"/>
    <w:link w:val="Heading1Char"/>
    <w:rsid w:val="007D7560"/>
    <w:pPr>
      <w:keepNext/>
      <w:spacing w:before="240" w:after="60"/>
      <w:jc w:val="both"/>
      <w:outlineLvl w:val="0"/>
    </w:pPr>
    <w:rPr>
      <w:b/>
      <w:bCs/>
      <w:kern w:val="32"/>
      <w:sz w:val="28"/>
      <w:szCs w:val="32"/>
    </w:rPr>
  </w:style>
  <w:style w:type="paragraph" w:styleId="Heading3">
    <w:name w:val="heading 3"/>
    <w:basedOn w:val="Normal"/>
    <w:next w:val="Normal"/>
    <w:link w:val="Heading3Char1"/>
    <w:semiHidden/>
    <w:unhideWhenUsed/>
    <w:qFormat/>
    <w:rsid w:val="00E37EF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7560"/>
    <w:rPr>
      <w:b/>
      <w:bCs/>
      <w:kern w:val="32"/>
      <w:sz w:val="28"/>
      <w:szCs w:val="32"/>
    </w:rPr>
  </w:style>
  <w:style w:type="character" w:styleId="PageNumber">
    <w:name w:val="page number"/>
    <w:basedOn w:val="DefaultParagraphFont"/>
    <w:rsid w:val="00A0563A"/>
  </w:style>
  <w:style w:type="character" w:styleId="Hyperlink">
    <w:name w:val="Hyperlink"/>
    <w:rsid w:val="00796FBF"/>
    <w:rPr>
      <w:strike w:val="0"/>
      <w:dstrike w:val="0"/>
      <w:color w:val="0253B7"/>
      <w:u w:val="none"/>
      <w:effect w:val="none"/>
    </w:rPr>
  </w:style>
  <w:style w:type="character" w:customStyle="1" w:styleId="BalloonTextChar">
    <w:name w:val="Balloon Text Char"/>
    <w:rsid w:val="006A584D"/>
    <w:rPr>
      <w:rFonts w:ascii="Tahoma" w:hAnsi="Tahoma" w:cs="Tahoma"/>
      <w:sz w:val="16"/>
      <w:szCs w:val="16"/>
    </w:rPr>
  </w:style>
  <w:style w:type="character" w:customStyle="1" w:styleId="FootnoteTextChar">
    <w:name w:val="Footnote Text Char"/>
    <w:basedOn w:val="DefaultParagraphFont"/>
    <w:rsid w:val="00252AC8"/>
  </w:style>
  <w:style w:type="character" w:styleId="FootnoteReference">
    <w:name w:val="footnote reference"/>
    <w:rsid w:val="00252AC8"/>
    <w:rPr>
      <w:vertAlign w:val="superscript"/>
    </w:rPr>
  </w:style>
  <w:style w:type="table" w:styleId="TableGrid">
    <w:name w:val="Table Grid"/>
    <w:basedOn w:val="TableNormal"/>
    <w:rsid w:val="0025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sid w:val="00617466"/>
    <w:rPr>
      <w:rFonts w:ascii="Times New Roman Bold" w:hAnsi="Times New Roman Bold"/>
      <w:b/>
      <w:bCs/>
      <w:sz w:val="24"/>
      <w:szCs w:val="24"/>
    </w:rPr>
  </w:style>
  <w:style w:type="character" w:customStyle="1" w:styleId="Heading4Char">
    <w:name w:val="Heading 4 Char"/>
    <w:rsid w:val="00617466"/>
    <w:rPr>
      <w:rFonts w:ascii="Calibri" w:hAnsi="Calibri"/>
      <w:b/>
      <w:bCs/>
      <w:sz w:val="28"/>
      <w:szCs w:val="28"/>
    </w:rPr>
  </w:style>
  <w:style w:type="paragraph" w:customStyle="1" w:styleId="Style11ptJustifiedAfter6pt">
    <w:name w:val="Style 11 pt Justified After:  6 pt"/>
    <w:basedOn w:val="Normal"/>
    <w:rsid w:val="00617466"/>
    <w:pPr>
      <w:spacing w:after="120"/>
      <w:jc w:val="both"/>
    </w:pPr>
    <w:rPr>
      <w:sz w:val="22"/>
      <w:szCs w:val="22"/>
    </w:rPr>
  </w:style>
  <w:style w:type="character" w:customStyle="1" w:styleId="FootnoteTextChar1">
    <w:name w:val="Footnote Text Char1"/>
    <w:basedOn w:val="DefaultParagraphFont"/>
    <w:rsid w:val="00617466"/>
  </w:style>
  <w:style w:type="character" w:customStyle="1" w:styleId="pprag1Char">
    <w:name w:val="pprag 1 Char"/>
    <w:rsid w:val="007D7560"/>
    <w:rPr>
      <w:b/>
      <w:bCs/>
      <w:sz w:val="34"/>
      <w:szCs w:val="28"/>
      <w:lang w:val="en-US"/>
    </w:rPr>
  </w:style>
  <w:style w:type="paragraph" w:customStyle="1" w:styleId="pprag2">
    <w:name w:val="pprag 2"/>
    <w:basedOn w:val="Normal"/>
    <w:next w:val="Normal"/>
    <w:link w:val="pprag2Char"/>
    <w:autoRedefine/>
    <w:qFormat/>
    <w:rsid w:val="007D7560"/>
    <w:pPr>
      <w:widowControl w:val="0"/>
      <w:numPr>
        <w:ilvl w:val="1"/>
        <w:numId w:val="12"/>
      </w:numPr>
      <w:tabs>
        <w:tab w:val="left" w:pos="737"/>
      </w:tabs>
      <w:spacing w:before="240" w:after="120" w:line="276" w:lineRule="auto"/>
      <w:jc w:val="both"/>
      <w:outlineLvl w:val="1"/>
    </w:pPr>
    <w:rPr>
      <w:rFonts w:ascii="Times New Roman Bold" w:hAnsi="Times New Roman Bold"/>
      <w:b/>
      <w:color w:val="000000"/>
      <w:sz w:val="32"/>
      <w:lang w:val="en-US"/>
    </w:rPr>
  </w:style>
  <w:style w:type="character" w:customStyle="1" w:styleId="pprag2Char">
    <w:name w:val="pprag 2 Char"/>
    <w:link w:val="pprag2"/>
    <w:rsid w:val="007D7560"/>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7D7560"/>
    <w:pPr>
      <w:widowControl w:val="0"/>
      <w:numPr>
        <w:ilvl w:val="2"/>
        <w:numId w:val="12"/>
      </w:numPr>
      <w:tabs>
        <w:tab w:val="left" w:pos="851"/>
      </w:tabs>
      <w:spacing w:before="240" w:after="240" w:line="276" w:lineRule="auto"/>
      <w:jc w:val="both"/>
      <w:outlineLvl w:val="2"/>
    </w:pPr>
    <w:rPr>
      <w:rFonts w:ascii="Times New Roman Bold" w:hAnsi="Times New Roman Bold"/>
      <w:b/>
      <w:sz w:val="28"/>
      <w:szCs w:val="28"/>
    </w:rPr>
  </w:style>
  <w:style w:type="paragraph" w:customStyle="1" w:styleId="pprag4">
    <w:name w:val="pprag 4"/>
    <w:basedOn w:val="Normal"/>
    <w:next w:val="Normal"/>
    <w:autoRedefine/>
    <w:qFormat/>
    <w:rsid w:val="007D7560"/>
    <w:pPr>
      <w:widowControl w:val="0"/>
      <w:numPr>
        <w:ilvl w:val="3"/>
        <w:numId w:val="12"/>
      </w:numPr>
      <w:tabs>
        <w:tab w:val="left" w:pos="646"/>
      </w:tabs>
      <w:spacing w:before="120" w:after="120" w:line="276" w:lineRule="auto"/>
      <w:jc w:val="both"/>
      <w:outlineLvl w:val="3"/>
    </w:pPr>
    <w:rPr>
      <w:b/>
      <w:bCs/>
      <w:szCs w:val="28"/>
      <w:lang w:val="fr-BE"/>
    </w:rPr>
  </w:style>
  <w:style w:type="paragraph" w:customStyle="1" w:styleId="pprag5">
    <w:name w:val="pprag 5"/>
    <w:basedOn w:val="Normal"/>
    <w:link w:val="pprag5Char"/>
    <w:autoRedefine/>
    <w:qFormat/>
    <w:rsid w:val="007D7560"/>
    <w:pPr>
      <w:numPr>
        <w:ilvl w:val="4"/>
        <w:numId w:val="12"/>
      </w:numPr>
      <w:tabs>
        <w:tab w:val="left" w:pos="1134"/>
      </w:tabs>
      <w:spacing w:before="120" w:after="120" w:line="276" w:lineRule="auto"/>
      <w:jc w:val="both"/>
      <w:outlineLvl w:val="4"/>
    </w:pPr>
    <w:rPr>
      <w:b/>
      <w:bCs/>
      <w:lang w:val="fr-BE"/>
    </w:rPr>
  </w:style>
  <w:style w:type="character" w:customStyle="1" w:styleId="pprag5Char">
    <w:name w:val="pprag 5 Char"/>
    <w:link w:val="pprag5"/>
    <w:locked/>
    <w:rsid w:val="007D7560"/>
    <w:rPr>
      <w:b/>
      <w:bCs/>
      <w:sz w:val="24"/>
      <w:szCs w:val="24"/>
      <w:lang w:val="fr-BE"/>
    </w:rPr>
  </w:style>
  <w:style w:type="character" w:styleId="IntenseEmphasis">
    <w:name w:val="Intense Emphasis"/>
    <w:uiPriority w:val="21"/>
    <w:rsid w:val="007D7560"/>
    <w:rPr>
      <w:b/>
      <w:bCs/>
      <w:i/>
      <w:iCs/>
      <w:color w:val="4F81BD"/>
    </w:rPr>
  </w:style>
  <w:style w:type="character" w:customStyle="1" w:styleId="FooterChar">
    <w:name w:val="Footer Char"/>
    <w:uiPriority w:val="99"/>
    <w:rsid w:val="00755B4F"/>
    <w:rPr>
      <w:sz w:val="24"/>
      <w:szCs w:val="24"/>
    </w:rPr>
  </w:style>
  <w:style w:type="paragraph" w:styleId="Header">
    <w:name w:val="header"/>
    <w:basedOn w:val="Normal"/>
    <w:link w:val="HeaderChar"/>
    <w:rsid w:val="006C38B3"/>
    <w:pPr>
      <w:tabs>
        <w:tab w:val="center" w:pos="4536"/>
        <w:tab w:val="right" w:pos="9072"/>
      </w:tabs>
    </w:pPr>
  </w:style>
  <w:style w:type="character" w:customStyle="1" w:styleId="HeaderChar">
    <w:name w:val="Header Char"/>
    <w:basedOn w:val="DefaultParagraphFont"/>
    <w:link w:val="Header"/>
    <w:rsid w:val="006C38B3"/>
  </w:style>
  <w:style w:type="paragraph" w:styleId="Footer">
    <w:name w:val="footer"/>
    <w:basedOn w:val="Normal"/>
    <w:link w:val="FooterChar1"/>
    <w:rsid w:val="006C38B3"/>
    <w:pPr>
      <w:tabs>
        <w:tab w:val="center" w:pos="4536"/>
        <w:tab w:val="right" w:pos="9072"/>
      </w:tabs>
    </w:pPr>
  </w:style>
  <w:style w:type="character" w:customStyle="1" w:styleId="FooterChar1">
    <w:name w:val="Footer Char1"/>
    <w:basedOn w:val="DefaultParagraphFont"/>
    <w:link w:val="Footer"/>
    <w:uiPriority w:val="99"/>
    <w:rsid w:val="006C38B3"/>
  </w:style>
  <w:style w:type="paragraph" w:styleId="BalloonText">
    <w:name w:val="Balloon Text"/>
    <w:basedOn w:val="Normal"/>
    <w:link w:val="BalloonTextChar1"/>
    <w:rsid w:val="00E6214E"/>
    <w:rPr>
      <w:rFonts w:ascii="Tahoma" w:hAnsi="Tahoma" w:cs="Tahoma"/>
      <w:sz w:val="16"/>
      <w:szCs w:val="16"/>
    </w:rPr>
  </w:style>
  <w:style w:type="character" w:customStyle="1" w:styleId="BalloonTextChar1">
    <w:name w:val="Balloon Text Char1"/>
    <w:link w:val="BalloonText"/>
    <w:rsid w:val="00E6214E"/>
    <w:rPr>
      <w:rFonts w:ascii="Tahoma" w:hAnsi="Tahoma" w:cs="Tahoma"/>
      <w:sz w:val="16"/>
      <w:szCs w:val="16"/>
    </w:rPr>
  </w:style>
  <w:style w:type="character" w:styleId="CommentReference">
    <w:name w:val="annotation reference"/>
    <w:rsid w:val="00274588"/>
    <w:rPr>
      <w:sz w:val="16"/>
      <w:szCs w:val="16"/>
    </w:rPr>
  </w:style>
  <w:style w:type="paragraph" w:styleId="CommentText">
    <w:name w:val="annotation text"/>
    <w:basedOn w:val="Normal"/>
    <w:link w:val="CommentTextChar"/>
    <w:rsid w:val="00274588"/>
  </w:style>
  <w:style w:type="character" w:customStyle="1" w:styleId="CommentTextChar">
    <w:name w:val="Comment Text Char"/>
    <w:basedOn w:val="DefaultParagraphFont"/>
    <w:link w:val="CommentText"/>
    <w:rsid w:val="00274588"/>
  </w:style>
  <w:style w:type="paragraph" w:styleId="CommentSubject">
    <w:name w:val="annotation subject"/>
    <w:basedOn w:val="CommentText"/>
    <w:next w:val="CommentText"/>
    <w:link w:val="CommentSubjectChar"/>
    <w:rsid w:val="00274588"/>
    <w:rPr>
      <w:b/>
      <w:bCs/>
    </w:rPr>
  </w:style>
  <w:style w:type="character" w:customStyle="1" w:styleId="CommentSubjectChar">
    <w:name w:val="Comment Subject Char"/>
    <w:link w:val="CommentSubject"/>
    <w:rsid w:val="00274588"/>
    <w:rPr>
      <w:b/>
      <w:bCs/>
    </w:rPr>
  </w:style>
  <w:style w:type="paragraph" w:styleId="FootnoteText">
    <w:name w:val="footnote text"/>
    <w:basedOn w:val="Normal"/>
    <w:link w:val="FootnoteTextChar2"/>
    <w:autoRedefine/>
    <w:qFormat/>
    <w:rsid w:val="00F757CE"/>
    <w:pPr>
      <w:spacing w:after="60"/>
      <w:jc w:val="both"/>
    </w:pPr>
  </w:style>
  <w:style w:type="character" w:customStyle="1" w:styleId="FootnoteTextChar2">
    <w:name w:val="Footnote Text Char2"/>
    <w:link w:val="FootnoteText"/>
    <w:rsid w:val="00F757CE"/>
    <w:rPr>
      <w:lang w:val="en-GB" w:eastAsia="en-GB"/>
    </w:rPr>
  </w:style>
  <w:style w:type="character" w:customStyle="1" w:styleId="Heading3Char1">
    <w:name w:val="Heading 3 Char1"/>
    <w:link w:val="Heading3"/>
    <w:semiHidden/>
    <w:rsid w:val="00E37EF3"/>
    <w:rPr>
      <w:rFonts w:ascii="Cambria" w:eastAsia="Times New Roman" w:hAnsi="Cambria" w:cs="Times New Roman"/>
      <w:b/>
      <w:bCs/>
      <w:sz w:val="26"/>
      <w:szCs w:val="26"/>
    </w:rPr>
  </w:style>
  <w:style w:type="paragraph" w:styleId="Revision">
    <w:name w:val="Revision"/>
    <w:hidden/>
    <w:uiPriority w:val="99"/>
    <w:semiHidden/>
    <w:rsid w:val="00A337E3"/>
  </w:style>
  <w:style w:type="character" w:styleId="FollowedHyperlink">
    <w:name w:val="FollowedHyperlink"/>
    <w:rsid w:val="00C537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485">
      <w:bodyDiv w:val="1"/>
      <w:marLeft w:val="0"/>
      <w:marRight w:val="0"/>
      <w:marTop w:val="0"/>
      <w:marBottom w:val="0"/>
      <w:divBdr>
        <w:top w:val="none" w:sz="0" w:space="0" w:color="auto"/>
        <w:left w:val="none" w:sz="0" w:space="0" w:color="auto"/>
        <w:bottom w:val="none" w:sz="0" w:space="0" w:color="auto"/>
        <w:right w:val="none" w:sz="0" w:space="0" w:color="auto"/>
      </w:divBdr>
    </w:div>
    <w:div w:id="78210875">
      <w:bodyDiv w:val="1"/>
      <w:marLeft w:val="0"/>
      <w:marRight w:val="0"/>
      <w:marTop w:val="0"/>
      <w:marBottom w:val="0"/>
      <w:divBdr>
        <w:top w:val="none" w:sz="0" w:space="0" w:color="auto"/>
        <w:left w:val="none" w:sz="0" w:space="0" w:color="auto"/>
        <w:bottom w:val="none" w:sz="0" w:space="0" w:color="auto"/>
        <w:right w:val="none" w:sz="0" w:space="0" w:color="auto"/>
      </w:divBdr>
    </w:div>
    <w:div w:id="177158361">
      <w:bodyDiv w:val="1"/>
      <w:marLeft w:val="0"/>
      <w:marRight w:val="0"/>
      <w:marTop w:val="0"/>
      <w:marBottom w:val="0"/>
      <w:divBdr>
        <w:top w:val="none" w:sz="0" w:space="0" w:color="auto"/>
        <w:left w:val="none" w:sz="0" w:space="0" w:color="auto"/>
        <w:bottom w:val="none" w:sz="0" w:space="0" w:color="auto"/>
        <w:right w:val="none" w:sz="0" w:space="0" w:color="auto"/>
      </w:divBdr>
    </w:div>
    <w:div w:id="179129958">
      <w:bodyDiv w:val="1"/>
      <w:marLeft w:val="0"/>
      <w:marRight w:val="0"/>
      <w:marTop w:val="0"/>
      <w:marBottom w:val="0"/>
      <w:divBdr>
        <w:top w:val="none" w:sz="0" w:space="0" w:color="auto"/>
        <w:left w:val="none" w:sz="0" w:space="0" w:color="auto"/>
        <w:bottom w:val="none" w:sz="0" w:space="0" w:color="auto"/>
        <w:right w:val="none" w:sz="0" w:space="0" w:color="auto"/>
      </w:divBdr>
    </w:div>
    <w:div w:id="250508836">
      <w:bodyDiv w:val="1"/>
      <w:marLeft w:val="0"/>
      <w:marRight w:val="0"/>
      <w:marTop w:val="0"/>
      <w:marBottom w:val="0"/>
      <w:divBdr>
        <w:top w:val="none" w:sz="0" w:space="0" w:color="auto"/>
        <w:left w:val="none" w:sz="0" w:space="0" w:color="auto"/>
        <w:bottom w:val="none" w:sz="0" w:space="0" w:color="auto"/>
        <w:right w:val="none" w:sz="0" w:space="0" w:color="auto"/>
      </w:divBdr>
    </w:div>
    <w:div w:id="525018604">
      <w:bodyDiv w:val="1"/>
      <w:marLeft w:val="0"/>
      <w:marRight w:val="0"/>
      <w:marTop w:val="0"/>
      <w:marBottom w:val="0"/>
      <w:divBdr>
        <w:top w:val="none" w:sz="0" w:space="0" w:color="auto"/>
        <w:left w:val="none" w:sz="0" w:space="0" w:color="auto"/>
        <w:bottom w:val="none" w:sz="0" w:space="0" w:color="auto"/>
        <w:right w:val="none" w:sz="0" w:space="0" w:color="auto"/>
      </w:divBdr>
    </w:div>
    <w:div w:id="540360378">
      <w:bodyDiv w:val="1"/>
      <w:marLeft w:val="0"/>
      <w:marRight w:val="0"/>
      <w:marTop w:val="0"/>
      <w:marBottom w:val="0"/>
      <w:divBdr>
        <w:top w:val="none" w:sz="0" w:space="0" w:color="auto"/>
        <w:left w:val="none" w:sz="0" w:space="0" w:color="auto"/>
        <w:bottom w:val="none" w:sz="0" w:space="0" w:color="auto"/>
        <w:right w:val="none" w:sz="0" w:space="0" w:color="auto"/>
      </w:divBdr>
    </w:div>
    <w:div w:id="688408044">
      <w:bodyDiv w:val="1"/>
      <w:marLeft w:val="0"/>
      <w:marRight w:val="0"/>
      <w:marTop w:val="0"/>
      <w:marBottom w:val="0"/>
      <w:divBdr>
        <w:top w:val="none" w:sz="0" w:space="0" w:color="auto"/>
        <w:left w:val="none" w:sz="0" w:space="0" w:color="auto"/>
        <w:bottom w:val="none" w:sz="0" w:space="0" w:color="auto"/>
        <w:right w:val="none" w:sz="0" w:space="0" w:color="auto"/>
      </w:divBdr>
    </w:div>
    <w:div w:id="764956170">
      <w:bodyDiv w:val="1"/>
      <w:marLeft w:val="0"/>
      <w:marRight w:val="0"/>
      <w:marTop w:val="0"/>
      <w:marBottom w:val="0"/>
      <w:divBdr>
        <w:top w:val="none" w:sz="0" w:space="0" w:color="auto"/>
        <w:left w:val="none" w:sz="0" w:space="0" w:color="auto"/>
        <w:bottom w:val="none" w:sz="0" w:space="0" w:color="auto"/>
        <w:right w:val="none" w:sz="0" w:space="0" w:color="auto"/>
      </w:divBdr>
    </w:div>
    <w:div w:id="867177284">
      <w:bodyDiv w:val="1"/>
      <w:marLeft w:val="0"/>
      <w:marRight w:val="0"/>
      <w:marTop w:val="0"/>
      <w:marBottom w:val="0"/>
      <w:divBdr>
        <w:top w:val="none" w:sz="0" w:space="0" w:color="auto"/>
        <w:left w:val="none" w:sz="0" w:space="0" w:color="auto"/>
        <w:bottom w:val="none" w:sz="0" w:space="0" w:color="auto"/>
        <w:right w:val="none" w:sz="0" w:space="0" w:color="auto"/>
      </w:divBdr>
    </w:div>
    <w:div w:id="1039235428">
      <w:bodyDiv w:val="1"/>
      <w:marLeft w:val="0"/>
      <w:marRight w:val="0"/>
      <w:marTop w:val="0"/>
      <w:marBottom w:val="0"/>
      <w:divBdr>
        <w:top w:val="none" w:sz="0" w:space="0" w:color="auto"/>
        <w:left w:val="none" w:sz="0" w:space="0" w:color="auto"/>
        <w:bottom w:val="none" w:sz="0" w:space="0" w:color="auto"/>
        <w:right w:val="none" w:sz="0" w:space="0" w:color="auto"/>
      </w:divBdr>
    </w:div>
    <w:div w:id="1053238066">
      <w:bodyDiv w:val="1"/>
      <w:marLeft w:val="0"/>
      <w:marRight w:val="0"/>
      <w:marTop w:val="0"/>
      <w:marBottom w:val="0"/>
      <w:divBdr>
        <w:top w:val="none" w:sz="0" w:space="0" w:color="auto"/>
        <w:left w:val="none" w:sz="0" w:space="0" w:color="auto"/>
        <w:bottom w:val="none" w:sz="0" w:space="0" w:color="auto"/>
        <w:right w:val="none" w:sz="0" w:space="0" w:color="auto"/>
      </w:divBdr>
    </w:div>
    <w:div w:id="1053383057">
      <w:bodyDiv w:val="1"/>
      <w:marLeft w:val="0"/>
      <w:marRight w:val="0"/>
      <w:marTop w:val="0"/>
      <w:marBottom w:val="0"/>
      <w:divBdr>
        <w:top w:val="none" w:sz="0" w:space="0" w:color="auto"/>
        <w:left w:val="none" w:sz="0" w:space="0" w:color="auto"/>
        <w:bottom w:val="none" w:sz="0" w:space="0" w:color="auto"/>
        <w:right w:val="none" w:sz="0" w:space="0" w:color="auto"/>
      </w:divBdr>
    </w:div>
    <w:div w:id="1231847154">
      <w:bodyDiv w:val="1"/>
      <w:marLeft w:val="0"/>
      <w:marRight w:val="0"/>
      <w:marTop w:val="0"/>
      <w:marBottom w:val="0"/>
      <w:divBdr>
        <w:top w:val="none" w:sz="0" w:space="0" w:color="auto"/>
        <w:left w:val="none" w:sz="0" w:space="0" w:color="auto"/>
        <w:bottom w:val="none" w:sz="0" w:space="0" w:color="auto"/>
        <w:right w:val="none" w:sz="0" w:space="0" w:color="auto"/>
      </w:divBdr>
    </w:div>
    <w:div w:id="1242176463">
      <w:bodyDiv w:val="1"/>
      <w:marLeft w:val="0"/>
      <w:marRight w:val="0"/>
      <w:marTop w:val="0"/>
      <w:marBottom w:val="0"/>
      <w:divBdr>
        <w:top w:val="none" w:sz="0" w:space="0" w:color="auto"/>
        <w:left w:val="none" w:sz="0" w:space="0" w:color="auto"/>
        <w:bottom w:val="none" w:sz="0" w:space="0" w:color="auto"/>
        <w:right w:val="none" w:sz="0" w:space="0" w:color="auto"/>
      </w:divBdr>
    </w:div>
    <w:div w:id="1486121954">
      <w:bodyDiv w:val="1"/>
      <w:marLeft w:val="0"/>
      <w:marRight w:val="0"/>
      <w:marTop w:val="0"/>
      <w:marBottom w:val="0"/>
      <w:divBdr>
        <w:top w:val="none" w:sz="0" w:space="0" w:color="auto"/>
        <w:left w:val="none" w:sz="0" w:space="0" w:color="auto"/>
        <w:bottom w:val="none" w:sz="0" w:space="0" w:color="auto"/>
        <w:right w:val="none" w:sz="0" w:space="0" w:color="auto"/>
      </w:divBdr>
    </w:div>
    <w:div w:id="1604413680">
      <w:bodyDiv w:val="1"/>
      <w:marLeft w:val="0"/>
      <w:marRight w:val="0"/>
      <w:marTop w:val="0"/>
      <w:marBottom w:val="0"/>
      <w:divBdr>
        <w:top w:val="none" w:sz="0" w:space="0" w:color="auto"/>
        <w:left w:val="none" w:sz="0" w:space="0" w:color="auto"/>
        <w:bottom w:val="none" w:sz="0" w:space="0" w:color="auto"/>
        <w:right w:val="none" w:sz="0" w:space="0" w:color="auto"/>
      </w:divBdr>
    </w:div>
    <w:div w:id="1625232380">
      <w:bodyDiv w:val="1"/>
      <w:marLeft w:val="0"/>
      <w:marRight w:val="0"/>
      <w:marTop w:val="0"/>
      <w:marBottom w:val="0"/>
      <w:divBdr>
        <w:top w:val="none" w:sz="0" w:space="0" w:color="auto"/>
        <w:left w:val="none" w:sz="0" w:space="0" w:color="auto"/>
        <w:bottom w:val="none" w:sz="0" w:space="0" w:color="auto"/>
        <w:right w:val="none" w:sz="0" w:space="0" w:color="auto"/>
      </w:divBdr>
    </w:div>
    <w:div w:id="1651666517">
      <w:bodyDiv w:val="1"/>
      <w:marLeft w:val="0"/>
      <w:marRight w:val="0"/>
      <w:marTop w:val="0"/>
      <w:marBottom w:val="0"/>
      <w:divBdr>
        <w:top w:val="none" w:sz="0" w:space="0" w:color="auto"/>
        <w:left w:val="none" w:sz="0" w:space="0" w:color="auto"/>
        <w:bottom w:val="none" w:sz="0" w:space="0" w:color="auto"/>
        <w:right w:val="none" w:sz="0" w:space="0" w:color="auto"/>
      </w:divBdr>
    </w:div>
    <w:div w:id="1669625910">
      <w:bodyDiv w:val="1"/>
      <w:marLeft w:val="0"/>
      <w:marRight w:val="0"/>
      <w:marTop w:val="0"/>
      <w:marBottom w:val="0"/>
      <w:divBdr>
        <w:top w:val="none" w:sz="0" w:space="0" w:color="auto"/>
        <w:left w:val="none" w:sz="0" w:space="0" w:color="auto"/>
        <w:bottom w:val="none" w:sz="0" w:space="0" w:color="auto"/>
        <w:right w:val="none" w:sz="0" w:space="0" w:color="auto"/>
      </w:divBdr>
      <w:divsChild>
        <w:div w:id="716508664">
          <w:marLeft w:val="0"/>
          <w:marRight w:val="0"/>
          <w:marTop w:val="0"/>
          <w:marBottom w:val="0"/>
          <w:divBdr>
            <w:top w:val="none" w:sz="0" w:space="0" w:color="auto"/>
            <w:left w:val="none" w:sz="0" w:space="0" w:color="auto"/>
            <w:bottom w:val="none" w:sz="0" w:space="0" w:color="auto"/>
            <w:right w:val="none" w:sz="0" w:space="0" w:color="auto"/>
          </w:divBdr>
          <w:divsChild>
            <w:div w:id="5075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6632">
      <w:bodyDiv w:val="1"/>
      <w:marLeft w:val="0"/>
      <w:marRight w:val="0"/>
      <w:marTop w:val="0"/>
      <w:marBottom w:val="0"/>
      <w:divBdr>
        <w:top w:val="none" w:sz="0" w:space="0" w:color="auto"/>
        <w:left w:val="none" w:sz="0" w:space="0" w:color="auto"/>
        <w:bottom w:val="none" w:sz="0" w:space="0" w:color="auto"/>
        <w:right w:val="none" w:sz="0" w:space="0" w:color="auto"/>
      </w:divBdr>
    </w:div>
    <w:div w:id="1800686047">
      <w:bodyDiv w:val="1"/>
      <w:marLeft w:val="0"/>
      <w:marRight w:val="0"/>
      <w:marTop w:val="0"/>
      <w:marBottom w:val="0"/>
      <w:divBdr>
        <w:top w:val="none" w:sz="0" w:space="0" w:color="auto"/>
        <w:left w:val="none" w:sz="0" w:space="0" w:color="auto"/>
        <w:bottom w:val="none" w:sz="0" w:space="0" w:color="auto"/>
        <w:right w:val="none" w:sz="0" w:space="0" w:color="auto"/>
      </w:divBdr>
    </w:div>
    <w:div w:id="1851290992">
      <w:bodyDiv w:val="1"/>
      <w:marLeft w:val="0"/>
      <w:marRight w:val="0"/>
      <w:marTop w:val="0"/>
      <w:marBottom w:val="0"/>
      <w:divBdr>
        <w:top w:val="none" w:sz="0" w:space="0" w:color="auto"/>
        <w:left w:val="none" w:sz="0" w:space="0" w:color="auto"/>
        <w:bottom w:val="none" w:sz="0" w:space="0" w:color="auto"/>
        <w:right w:val="none" w:sz="0" w:space="0" w:color="auto"/>
      </w:divBdr>
    </w:div>
    <w:div w:id="1864126134">
      <w:bodyDiv w:val="1"/>
      <w:marLeft w:val="0"/>
      <w:marRight w:val="0"/>
      <w:marTop w:val="0"/>
      <w:marBottom w:val="0"/>
      <w:divBdr>
        <w:top w:val="none" w:sz="0" w:space="0" w:color="auto"/>
        <w:left w:val="none" w:sz="0" w:space="0" w:color="auto"/>
        <w:bottom w:val="none" w:sz="0" w:space="0" w:color="auto"/>
        <w:right w:val="none" w:sz="0" w:space="0" w:color="auto"/>
      </w:divBdr>
    </w:div>
    <w:div w:id="1890220460">
      <w:bodyDiv w:val="1"/>
      <w:marLeft w:val="0"/>
      <w:marRight w:val="0"/>
      <w:marTop w:val="0"/>
      <w:marBottom w:val="0"/>
      <w:divBdr>
        <w:top w:val="none" w:sz="0" w:space="0" w:color="auto"/>
        <w:left w:val="none" w:sz="0" w:space="0" w:color="auto"/>
        <w:bottom w:val="none" w:sz="0" w:space="0" w:color="auto"/>
        <w:right w:val="none" w:sz="0" w:space="0" w:color="auto"/>
      </w:divBdr>
    </w:div>
    <w:div w:id="1969781017">
      <w:bodyDiv w:val="1"/>
      <w:marLeft w:val="0"/>
      <w:marRight w:val="0"/>
      <w:marTop w:val="0"/>
      <w:marBottom w:val="0"/>
      <w:divBdr>
        <w:top w:val="none" w:sz="0" w:space="0" w:color="auto"/>
        <w:left w:val="none" w:sz="0" w:space="0" w:color="auto"/>
        <w:bottom w:val="none" w:sz="0" w:space="0" w:color="auto"/>
        <w:right w:val="none" w:sz="0" w:space="0" w:color="auto"/>
      </w:divBdr>
    </w:div>
    <w:div w:id="2055305079">
      <w:bodyDiv w:val="1"/>
      <w:marLeft w:val="0"/>
      <w:marRight w:val="0"/>
      <w:marTop w:val="0"/>
      <w:marBottom w:val="0"/>
      <w:divBdr>
        <w:top w:val="none" w:sz="0" w:space="0" w:color="auto"/>
        <w:left w:val="none" w:sz="0" w:space="0" w:color="auto"/>
        <w:bottom w:val="none" w:sz="0" w:space="0" w:color="auto"/>
        <w:right w:val="none" w:sz="0" w:space="0" w:color="auto"/>
      </w:divBdr>
    </w:div>
    <w:div w:id="2061442361">
      <w:bodyDiv w:val="1"/>
      <w:marLeft w:val="0"/>
      <w:marRight w:val="0"/>
      <w:marTop w:val="0"/>
      <w:marBottom w:val="0"/>
      <w:divBdr>
        <w:top w:val="none" w:sz="0" w:space="0" w:color="auto"/>
        <w:left w:val="none" w:sz="0" w:space="0" w:color="auto"/>
        <w:bottom w:val="none" w:sz="0" w:space="0" w:color="auto"/>
        <w:right w:val="none" w:sz="0" w:space="0" w:color="auto"/>
      </w:divBdr>
    </w:div>
    <w:div w:id="210287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08953-5C79-49D6-A3AD-ED8A3DFE2DB2}">
  <ds:schemaRefs>
    <ds:schemaRef ds:uri="http://schemas.openxmlformats.org/officeDocument/2006/bibliography"/>
  </ds:schemaRefs>
</ds:datastoreItem>
</file>

<file path=customXml/itemProps2.xml><?xml version="1.0" encoding="utf-8"?>
<ds:datastoreItem xmlns:ds="http://schemas.openxmlformats.org/officeDocument/2006/customXml" ds:itemID="{EA708E20-5FD6-4755-8ED5-3F9D17E59C79}">
  <ds:schemaRefs>
    <ds:schemaRef ds:uri="http://schemas.openxmlformats.org/officeDocument/2006/bibliography"/>
  </ds:schemaRefs>
</ds:datastoreItem>
</file>

<file path=customXml/itemProps3.xml><?xml version="1.0" encoding="utf-8"?>
<ds:datastoreItem xmlns:ds="http://schemas.openxmlformats.org/officeDocument/2006/customXml" ds:itemID="{8F92A15E-904E-40EE-9E20-026DABB529F2}"/>
</file>

<file path=customXml/itemProps4.xml><?xml version="1.0" encoding="utf-8"?>
<ds:datastoreItem xmlns:ds="http://schemas.openxmlformats.org/officeDocument/2006/customXml" ds:itemID="{AF40FA05-EDD2-43C4-899A-F245A56C7BF5}"/>
</file>

<file path=customXml/itemProps5.xml><?xml version="1.0" encoding="utf-8"?>
<ds:datastoreItem xmlns:ds="http://schemas.openxmlformats.org/officeDocument/2006/customXml" ds:itemID="{80E8E859-87B1-4672-BAC6-5EB81903C2FB}"/>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10413</Characters>
  <Application>Microsoft Office Word</Application>
  <DocSecurity>0</DocSecurity>
  <Lines>281</Lines>
  <Paragraphs>125</Paragraphs>
  <ScaleCrop>false</ScaleCrop>
  <HeadingPairs>
    <vt:vector size="2" baseType="variant">
      <vt:variant>
        <vt:lpstr>Title</vt:lpstr>
      </vt:variant>
      <vt:variant>
        <vt:i4>1</vt:i4>
      </vt:variant>
    </vt:vector>
  </HeadingPairs>
  <TitlesOfParts>
    <vt:vector size="1" baseType="lpstr">
      <vt:lpstr>The following are general and guiding principles to evaluate the plausibility and reasonableness of a budget</vt:lpstr>
    </vt:vector>
  </TitlesOfParts>
  <Company>European Commission</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general and guiding principles to evaluate the plausibility and reasonableness of a budget</dc:title>
  <dc:subject/>
  <dc:creator>wsw</dc:creator>
  <cp:keywords/>
  <cp:lastModifiedBy>CLEMENTI Flavia (INTPA-EXT)</cp:lastModifiedBy>
  <cp:revision>5</cp:revision>
  <cp:lastPrinted>2019-05-16T08:03:00Z</cp:lastPrinted>
  <dcterms:created xsi:type="dcterms:W3CDTF">2021-06-23T15:33:00Z</dcterms:created>
  <dcterms:modified xsi:type="dcterms:W3CDTF">2021-11-25T14:36:00Z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