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HOW TO BE A CHANGE CATALYST</w:t>
      </w:r>
    </w:p>
    <w:p w:rsidR="00000000" w:rsidDel="00000000" w:rsidP="00000000" w:rsidRDefault="00000000" w:rsidRPr="00000000" w14:paraId="00000002">
      <w:pPr>
        <w:rPr/>
      </w:pPr>
      <w:r w:rsidDel="00000000" w:rsidR="00000000" w:rsidRPr="00000000">
        <w:rPr>
          <w:rtl w:val="0"/>
        </w:rPr>
        <w:t xml:space="preserve">PART 1 // Bullet Points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pPr>
      <w:r w:rsidDel="00000000" w:rsidR="00000000" w:rsidRPr="00000000">
        <w:rPr>
          <w:rtl w:val="0"/>
        </w:rPr>
        <w:t xml:space="preserve">Brian Head Welch, a guitarist for the new metal band, Korn, experienced a life-altering spiritual awakening and transformation after being invited to church by a friend. He subsequently left the band and became a vibrant evangelist.</w:t>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Behind each significant spiritual transformation like Brian's, there is an ordinary individual who took the step to invite that person to church and engage them into the community.</w:t>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This is part one of a four-part series called "How To Be a Change Catalyst."</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The series examines small pieces of scripture and discusses their implications in everyday life, with an assigned challenge for viewers to complete after each video.</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The focus for this video is Ephesians 2:8-10, discussing the concept of God's grace and the idea of being a "catalyst for change" in one's community.</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A clear understanding of God's grace and the belief that we are all God's "masterpiece" or "poetry in motion" is a vital starting point for making a difference in others' lives.</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The term "catalyst for change" reflects the potential for small actions or movements to make a substantial difference when correctly directed.</w:t>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Church invitation can have a huge impact. Recent studies show that 82% of unchurched people would attend church if a friend invited them.</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Despite the potential for impact, only 2% of churchgoers have invited someone else to church in the past year, revealing a missed opportunity.</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To encourage a culture of invitation and gratitude for God's grace, viewers are challenged to find an odd object to carry around with them. Each time they encounter this object, they should thank God for His grace in their life and consider how they can contribute to the invite culture.</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The domino analogy signifies that a single act of invitation can trigger a chain reaction, potentially leading to significant spiritual transformations.</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The series continues in subsequent videos, with more challenges and discussions to help viewers become catalysts for change in their communities.</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