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tbl>
      <w:tblPr>
        <w:tblW w:w="14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492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fr-FR"/>
              </w:rPr>
              <w:t>Content Objectives</w:t>
            </w:r>
          </w:p>
          <w:p>
            <w:pPr>
              <w:pStyle w:val="Table Style 1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The child will be enabled to: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986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>Lesson 1</w:t>
            </w: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The Name Song</w:t>
            </w:r>
          </w:p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Recognise the difference between the speaking voice and the singing voice and use these voices in different ways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Show the steady beat in listening to or accompanying songs or rhythmic chants </w:t>
            </w:r>
          </w:p>
        </w:tc>
        <w:tc>
          <w:tcPr>
            <w:tcW w:type="dxa" w:w="143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Song Singing</w:t>
            </w:r>
          </w:p>
        </w:tc>
        <w:tc>
          <w:tcPr>
            <w:tcW w:type="dxa" w:w="243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Sing along video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5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 xml:space="preserve">Lesson 2 </w:t>
            </w: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The Front Door - Phonics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Use sound words and word phrases to describe and imitate selected sounds 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Match selected sounds with their pictured source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Early literacy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The Front Door Resource</w:t>
            </w: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1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Morning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Listen to, identify and imitate familiar sounds in the immediate environment from varying sources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Invent and perform short, simple musical pieces with some control of musical elements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Invent graphic symbols for single sounds and sound effects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structure 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Worksheet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78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rtl w:val="0"/>
              </w:rPr>
              <w:t xml:space="preserve">Lesson </w:t>
            </w:r>
            <w:r>
              <w:rPr>
                <w:rFonts w:ascii="Arial" w:hAnsi="Arial"/>
                <w:b w:val="1"/>
                <w:bCs w:val="1"/>
                <w:u w:color="000000"/>
                <w:rtl w:val="0"/>
                <w:lang w:val="en-US"/>
              </w:rPr>
              <w:t>4</w:t>
            </w: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Sweepy Sweepy Sweepy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Recognise and sing familiar songs and melodies from other sources 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Recognise and imitate short melodies in echoes, developing a sense of pitch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Discover ways of making sounds using body percussion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Listening and Responding 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rFonts w:ascii="Arial" w:cs="Arial" w:hAnsi="Arial" w:eastAsia="Arial"/>
                <w:u w:color="000000"/>
              </w:rPr>
            </w:pPr>
            <w:r>
              <w:rPr>
                <w:rFonts w:ascii="Arial" w:hAnsi="Arial"/>
                <w:u w:color="000000"/>
                <w:rtl w:val="0"/>
                <w:lang w:val="nl-NL"/>
              </w:rPr>
              <w:t>Song Singing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rial" w:hAnsi="Arial"/>
                <w:u w:color="000000"/>
                <w:rtl w:val="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1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11"/>
              </w:numPr>
              <w:jc w:val="left"/>
              <w:rPr>
                <w:rFonts w:ascii="Arial" w:hAnsi="Arial"/>
                <w:u w:color="000000"/>
                <w:lang w:val="en-US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Sing Along Video</w:t>
            </w: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>Junior Infants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-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Teacher: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             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