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880"/>
        <w:gridCol w:w="7920"/>
        <w:tblGridChange w:id="0">
          <w:tblGrid>
            <w:gridCol w:w="2880"/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</w:rPr>
              <w:drawing>
                <wp:inline distB="114300" distT="114300" distL="114300" distR="114300">
                  <wp:extent cx="1924050" cy="10800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3462" l="0" r="0" t="20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080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32"/>
                <w:szCs w:val="32"/>
                <w:rtl w:val="0"/>
              </w:rPr>
              <w:t xml:space="preserve">Ask Video Bullet Points</w:t>
            </w:r>
          </w:p>
        </w:tc>
      </w:tr>
    </w:tbl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vtwmmilex7pp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Bullet Points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Greeting &amp; Purpose: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Thank viewers for their time.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Invite them to be part of a special outreach project.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The Ask: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Request about an hour each month to deliver 70–150 flyers.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Emphasize that it’s simple and straightforward.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Why It Matters: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God is already at work—people just need an invite.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Most attend because a friend invited them—this effort reaches those without that connection.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small step could lead to big change in someone’s life.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What’s Provided: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Flyers, route details, training, and a supportive team leader.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Everything is set up to make participating easy and impactful.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Closing &amp; Call to Action: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Encourage them to consider helping.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Remind them it’s about caring for the community and making a difference.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Ask them to reply or let you know if they’re interested.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Final Vision: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simple act of delivering flyers can open the door to hope, community, and transformation.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“Will you join us?”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