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tbl>
      <w:tblPr>
        <w:tblW w:w="14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292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u w:color="000000"/>
                <w:rtl w:val="0"/>
              </w:rPr>
              <w:t>Content Objectives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2167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>Lesson 1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Exploring Vocal sounds</w:t>
            </w:r>
          </w:p>
        </w:tc>
        <w:tc>
          <w:tcPr>
            <w:tcW w:type="dxa" w:w="2982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Distinguish between sounds of different duration while listening to music </w:t>
            </w:r>
          </w:p>
          <w:p>
            <w:pPr>
              <w:pStyle w:val="Table Style 2"/>
              <w:numPr>
                <w:ilvl w:val="0"/>
                <w:numId w:val="2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Identify some families of instruments </w:t>
            </w:r>
          </w:p>
          <w:p>
            <w:pPr>
              <w:pStyle w:val="Table Style 2"/>
              <w:numPr>
                <w:ilvl w:val="0"/>
                <w:numId w:val="2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Recognise the shape (contour) of melodies on a graphic score or in standard notation</w:t>
            </w:r>
          </w:p>
        </w:tc>
        <w:tc>
          <w:tcPr>
            <w:tcW w:type="dxa" w:w="1437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Performing</w:t>
            </w:r>
          </w:p>
        </w:tc>
        <w:tc>
          <w:tcPr>
            <w:tcW w:type="dxa" w:w="1380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>Literacy</w:t>
            </w:r>
          </w:p>
        </w:tc>
        <w:tc>
          <w:tcPr>
            <w:tcW w:type="dxa" w:w="2436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3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3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515151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 xml:space="preserve">Lesson 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>2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Graphic Notation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Invent and perform simple musical pieces that show a developing awareness of musical elements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Devise and use graphic symbols and /or use standard notation to record simple musical patterns and inventions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Record compositions on electronic media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en-US"/>
              </w:rPr>
              <w:t>Composing</w:t>
            </w:r>
            <w:r>
              <w:rPr>
                <w:u w:color="000000"/>
                <w:rtl w:val="0"/>
              </w:rPr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Improvising and Creating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Talking about and recording compositions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5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5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5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Worksheets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Graphic Notation course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The Sounds Around You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Listen to and describe a widening variety of sound from an increasing range of sources </w:t>
            </w:r>
          </w:p>
          <w:p>
            <w:pPr>
              <w:pStyle w:val="Table Style 2"/>
              <w:numPr>
                <w:ilvl w:val="0"/>
                <w:numId w:val="7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Devise and use graphic symbols and /or use standard notation to record simple musical patterns and inventions</w:t>
            </w:r>
          </w:p>
          <w:p>
            <w:pPr>
              <w:pStyle w:val="Table Style 2"/>
              <w:numPr>
                <w:ilvl w:val="0"/>
                <w:numId w:val="6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Record compositions on electronic media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Talking about and recording Music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9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Worksheet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 xml:space="preserve">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07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ddddd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>Lesson 4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Song - Hill and Gully Rider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0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Identify and define the rhythm patterns of well known songs and chants </w:t>
            </w:r>
          </w:p>
          <w:p>
            <w:pPr>
              <w:pStyle w:val="Table Style 2"/>
              <w:numPr>
                <w:ilvl w:val="0"/>
                <w:numId w:val="10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Perform familiar songs with increasing understanding and control of pitch (accurate intervals) and extended vocal range</w:t>
            </w:r>
          </w:p>
          <w:p>
            <w:pPr>
              <w:pStyle w:val="Table Style 2"/>
              <w:numPr>
                <w:ilvl w:val="0"/>
                <w:numId w:val="10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Understand the difference between beat and rhythm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Performing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</w:rPr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Literacy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Song Singing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11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11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11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rhythm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en-US"/>
              </w:rPr>
              <w:t>Sing-along video 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515151" w:sz="8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72"/>
        <w:tab w:val="clear" w:pos="9020"/>
      </w:tabs>
      <w:bidi w:val="0"/>
      <w:ind w:left="0" w:right="0" w:firstLine="0"/>
      <w:jc w:val="left"/>
      <w:rPr>
        <w:rtl w:val="0"/>
      </w:rPr>
    </w:pPr>
    <w:r>
      <w:rPr>
        <w:b w:val="1"/>
        <w:bCs w:val="1"/>
        <w:sz w:val="28"/>
        <w:szCs w:val="28"/>
        <w:u w:color="000000"/>
        <w:rtl w:val="0"/>
        <w:lang w:val="en-US"/>
      </w:rPr>
      <w:t>3rd</w:t>
    </w:r>
    <w:r>
      <w:rPr>
        <w:b w:val="1"/>
        <w:bCs w:val="1"/>
        <w:sz w:val="30"/>
        <w:szCs w:val="30"/>
        <w:u w:color="000000"/>
        <w:rtl w:val="0"/>
        <w:lang w:val="en-US"/>
      </w:rPr>
      <w:t xml:space="preserve"> </w:t>
    </w:r>
    <w:r>
      <w:rPr>
        <w:b w:val="1"/>
        <w:bCs w:val="1"/>
        <w:sz w:val="28"/>
        <w:szCs w:val="28"/>
        <w:u w:color="000000"/>
        <w:rtl w:val="0"/>
        <w:lang w:val="en-US"/>
      </w:rPr>
      <w:t xml:space="preserve">Class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-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Teacher: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             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