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2D73" w14:textId="41DE6624" w:rsidR="00A54ED9" w:rsidRPr="00D22D26" w:rsidRDefault="00EA315F" w:rsidP="00D22D26">
      <w:pPr>
        <w:pStyle w:val="Titel"/>
        <w:tabs>
          <w:tab w:val="left" w:pos="5535"/>
        </w:tabs>
      </w:pPr>
      <w:r w:rsidRPr="00D22D26">
        <w:t>Bergpredigt</w:t>
      </w:r>
      <w:r w:rsidR="00D22D26">
        <w:tab/>
      </w:r>
    </w:p>
    <w:p w14:paraId="4F9FAF02" w14:textId="77777777" w:rsidR="00A54ED9" w:rsidRPr="00D22D26" w:rsidRDefault="00EA315F" w:rsidP="00D22D26">
      <w:pPr>
        <w:pStyle w:val="berschrift1"/>
      </w:pPr>
      <w:r w:rsidRPr="00D22D26">
        <w:t>Vertiefungsfragen</w:t>
      </w:r>
    </w:p>
    <w:p w14:paraId="3C09BDE9" w14:textId="77777777" w:rsidR="00A54ED9" w:rsidRPr="00D22D26" w:rsidRDefault="00A54ED9">
      <w:pPr>
        <w:rPr>
          <w:rFonts w:ascii="DINOT" w:hAnsi="DINOT"/>
          <w:u w:val="single"/>
        </w:rPr>
      </w:pPr>
    </w:p>
    <w:p w14:paraId="6B9A4A61" w14:textId="35661ABC" w:rsidR="00A54ED9" w:rsidRPr="00D22D26" w:rsidRDefault="00D22D26" w:rsidP="00D22D26">
      <w:pPr>
        <w:ind w:left="420" w:hanging="420"/>
        <w:rPr>
          <w:rFonts w:ascii="DINOT" w:hAnsi="DINOT"/>
        </w:rPr>
      </w:pPr>
      <w:proofErr w:type="spellStart"/>
      <w:r>
        <w:rPr>
          <w:rFonts w:ascii="DINOT" w:hAnsi="DINOT"/>
        </w:rPr>
        <w:t>ad</w:t>
      </w:r>
      <w:proofErr w:type="spellEnd"/>
      <w:r>
        <w:rPr>
          <w:rFonts w:ascii="DINOT" w:hAnsi="DINOT"/>
        </w:rPr>
        <w:t xml:space="preserve"> </w:t>
      </w:r>
      <w:r>
        <w:rPr>
          <w:rFonts w:ascii="DINOT" w:hAnsi="DINOT"/>
        </w:rPr>
        <w:tab/>
      </w:r>
      <w:r w:rsidR="00EA315F" w:rsidRPr="00D22D26">
        <w:rPr>
          <w:rFonts w:ascii="DINOT" w:hAnsi="DINOT"/>
        </w:rPr>
        <w:t>1. Welches Bild von Jesus haben wir? Wie unterscheidet sich dieses Bild von dem NT?</w:t>
      </w:r>
      <w:r>
        <w:rPr>
          <w:rFonts w:ascii="DINOT" w:hAnsi="DINOT"/>
        </w:rPr>
        <w:t xml:space="preserve"> </w:t>
      </w:r>
      <w:r w:rsidR="00EA315F" w:rsidRPr="00D22D26">
        <w:rPr>
          <w:rFonts w:ascii="DINOT" w:hAnsi="DINOT"/>
        </w:rPr>
        <w:t>Was ist die Bergpredigt? Was ist sie nicht?</w:t>
      </w:r>
    </w:p>
    <w:p w14:paraId="19244F32" w14:textId="77777777" w:rsidR="00A54ED9" w:rsidRPr="00D22D26" w:rsidRDefault="00A54ED9">
      <w:pPr>
        <w:rPr>
          <w:rFonts w:ascii="DINOT" w:hAnsi="DINOT"/>
        </w:rPr>
      </w:pPr>
    </w:p>
    <w:p w14:paraId="20FEF0A1" w14:textId="0A2628C5" w:rsidR="00A54ED9" w:rsidRPr="00D22D26" w:rsidRDefault="00EA315F" w:rsidP="00D22D26">
      <w:pPr>
        <w:ind w:firstLine="420"/>
        <w:rPr>
          <w:rFonts w:ascii="DINOT" w:hAnsi="DINOT"/>
        </w:rPr>
      </w:pPr>
      <w:r w:rsidRPr="00D22D26">
        <w:rPr>
          <w:rFonts w:ascii="DINOT" w:hAnsi="DINOT"/>
        </w:rPr>
        <w:t>Was sind die „Seligpreisungen“? Was sind sie nicht?</w:t>
      </w:r>
    </w:p>
    <w:p w14:paraId="6F62248E" w14:textId="0EEB4A7B" w:rsidR="00A54ED9" w:rsidRPr="00D22D26" w:rsidRDefault="00D22D26" w:rsidP="00D22D26">
      <w:pPr>
        <w:ind w:left="420"/>
        <w:rPr>
          <w:rFonts w:ascii="DINOT" w:hAnsi="DINOT"/>
        </w:rPr>
      </w:pPr>
      <w:r>
        <w:rPr>
          <w:rFonts w:ascii="DINOT" w:hAnsi="DINOT"/>
        </w:rPr>
        <w:t>E</w:t>
      </w:r>
      <w:r w:rsidR="00EA315F" w:rsidRPr="00D22D26">
        <w:rPr>
          <w:rFonts w:ascii="DINOT" w:hAnsi="DINOT"/>
        </w:rPr>
        <w:t>in Kinderlied formuliert „In Gottes Reich ist alles umgekehrt“. Inwiefern entspricht</w:t>
      </w:r>
      <w:r>
        <w:rPr>
          <w:rFonts w:ascii="DINOT" w:hAnsi="DINOT"/>
        </w:rPr>
        <w:t xml:space="preserve"> diese </w:t>
      </w:r>
      <w:r w:rsidR="00EA315F" w:rsidRPr="00D22D26">
        <w:rPr>
          <w:rFonts w:ascii="DINOT" w:hAnsi="DINOT"/>
        </w:rPr>
        <w:t>Aussage den Seligpreisungen?</w:t>
      </w:r>
    </w:p>
    <w:p w14:paraId="23215426" w14:textId="77777777" w:rsidR="00A54ED9" w:rsidRPr="00D22D26" w:rsidRDefault="00A54ED9">
      <w:pPr>
        <w:rPr>
          <w:rFonts w:ascii="DINOT" w:hAnsi="DINOT"/>
        </w:rPr>
      </w:pPr>
    </w:p>
    <w:p w14:paraId="775C2E5C" w14:textId="77777777" w:rsidR="00D22D26" w:rsidRDefault="00EA315F" w:rsidP="00D22D26">
      <w:pPr>
        <w:ind w:left="420" w:hanging="420"/>
        <w:rPr>
          <w:rFonts w:ascii="DINOT" w:hAnsi="DINOT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>
        <w:rPr>
          <w:rFonts w:ascii="DINOT" w:hAnsi="DINOT"/>
        </w:rPr>
        <w:tab/>
      </w:r>
      <w:r w:rsidRPr="00D22D26">
        <w:rPr>
          <w:rFonts w:ascii="DINOT" w:hAnsi="DINOT"/>
        </w:rPr>
        <w:t>4.</w:t>
      </w:r>
      <w:r w:rsid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>Was spricht für</w:t>
      </w:r>
      <w:r w:rsidRPr="00D22D26">
        <w:rPr>
          <w:rFonts w:ascii="DINOT" w:hAnsi="DINOT"/>
        </w:rPr>
        <w:t xml:space="preserve"> den Begriff „Antithesen“? Was für den Begriff</w:t>
      </w:r>
      <w:r w:rsid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>„Superthesen“ (Lapide)?</w:t>
      </w:r>
    </w:p>
    <w:p w14:paraId="02D88839" w14:textId="77777777" w:rsidR="00D22D26" w:rsidRDefault="00D22D26" w:rsidP="00D22D26">
      <w:pPr>
        <w:ind w:left="420"/>
        <w:rPr>
          <w:rFonts w:ascii="DINOT" w:hAnsi="DINOT"/>
        </w:rPr>
      </w:pPr>
    </w:p>
    <w:p w14:paraId="09746F81" w14:textId="7BD1B146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>Welche historischen Spannungsfelder bestehen bei der Auslegung der Bergpredigt beim</w:t>
      </w:r>
      <w:r w:rsid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>Thema „Scheidung und Wiederheirat“ und dem „Schwören“?</w:t>
      </w:r>
    </w:p>
    <w:p w14:paraId="067DEFBD" w14:textId="77777777" w:rsidR="00D22D26" w:rsidRDefault="00D22D26">
      <w:pPr>
        <w:rPr>
          <w:rFonts w:ascii="DINOT" w:hAnsi="DINOT"/>
        </w:rPr>
      </w:pPr>
    </w:p>
    <w:p w14:paraId="52E64BC1" w14:textId="368AD0ED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 xml:space="preserve">Heiner Geißler nennt den Sinn der </w:t>
      </w:r>
      <w:r w:rsidRPr="00D22D26">
        <w:rPr>
          <w:rFonts w:ascii="DINOT" w:hAnsi="DINOT"/>
        </w:rPr>
        <w:t xml:space="preserve">„Antithesen“ („Superthesen“) „Entspannungspolitik“. Wie   </w:t>
      </w:r>
      <w:r w:rsidRPr="00D22D26">
        <w:rPr>
          <w:rFonts w:ascii="DINOT" w:hAnsi="DINOT"/>
        </w:rPr>
        <w:t>ist das zu verstehen? Wie finden Sie das?</w:t>
      </w:r>
    </w:p>
    <w:p w14:paraId="3DD475ED" w14:textId="77777777" w:rsidR="00A54ED9" w:rsidRPr="00D22D26" w:rsidRDefault="00A54ED9">
      <w:pPr>
        <w:rPr>
          <w:rFonts w:ascii="DINOT" w:hAnsi="DINOT"/>
        </w:rPr>
      </w:pPr>
    </w:p>
    <w:p w14:paraId="1ABCD220" w14:textId="2862DEC2" w:rsidR="00A54ED9" w:rsidRPr="00D22D26" w:rsidRDefault="00EA315F">
      <w:pPr>
        <w:rPr>
          <w:rFonts w:ascii="DINOT" w:hAnsi="DINOT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>
        <w:rPr>
          <w:rFonts w:ascii="DINOT" w:hAnsi="DINOT"/>
        </w:rPr>
        <w:tab/>
      </w:r>
      <w:r w:rsidRPr="00D22D26">
        <w:rPr>
          <w:rFonts w:ascii="DINOT" w:hAnsi="DINOT"/>
        </w:rPr>
        <w:t xml:space="preserve">5. Wie verhält sich die Bitte um Vergebung im Vaterunser zur evangelischen </w:t>
      </w:r>
      <w:r w:rsidRP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ab/>
      </w:r>
      <w:r w:rsidRPr="00D22D26">
        <w:rPr>
          <w:rFonts w:ascii="DINOT" w:hAnsi="DINOT"/>
        </w:rPr>
        <w:tab/>
        <w:t xml:space="preserve"> </w:t>
      </w:r>
      <w:r w:rsidRPr="00D22D26">
        <w:rPr>
          <w:rFonts w:ascii="DINOT" w:hAnsi="DINOT"/>
        </w:rPr>
        <w:tab/>
      </w:r>
      <w:r w:rsidRPr="00D22D26">
        <w:rPr>
          <w:rFonts w:ascii="DINOT" w:hAnsi="DINOT"/>
        </w:rPr>
        <w:tab/>
      </w:r>
    </w:p>
    <w:p w14:paraId="58D5E4F9" w14:textId="6CF3507D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 xml:space="preserve">Rechtfertigungslehre? Was meint der Begriff „sorglos“ im </w:t>
      </w:r>
      <w:proofErr w:type="spellStart"/>
      <w:r w:rsidRPr="00D22D26">
        <w:rPr>
          <w:rFonts w:ascii="DINOT" w:hAnsi="DINOT"/>
        </w:rPr>
        <w:t>Zsh</w:t>
      </w:r>
      <w:r w:rsidRPr="00D22D26">
        <w:rPr>
          <w:rFonts w:ascii="DINOT" w:hAnsi="DINOT"/>
        </w:rPr>
        <w:t>g</w:t>
      </w:r>
      <w:proofErr w:type="spellEnd"/>
      <w:r w:rsidRPr="00D22D26">
        <w:rPr>
          <w:rFonts w:ascii="DINOT" w:hAnsi="DINOT"/>
        </w:rPr>
        <w:t xml:space="preserve"> mit Mt.6 Was bedeutet er</w:t>
      </w:r>
      <w:r w:rsid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>nicht?</w:t>
      </w:r>
    </w:p>
    <w:p w14:paraId="20BE0C03" w14:textId="77777777" w:rsidR="00A54ED9" w:rsidRPr="00D22D26" w:rsidRDefault="00A54ED9">
      <w:pPr>
        <w:rPr>
          <w:rFonts w:ascii="DINOT" w:hAnsi="DINOT"/>
        </w:rPr>
      </w:pPr>
    </w:p>
    <w:p w14:paraId="35DF839E" w14:textId="4D63C1F2" w:rsidR="00A54ED9" w:rsidRPr="00D22D26" w:rsidRDefault="00EA315F" w:rsidP="00D22D26">
      <w:pPr>
        <w:ind w:left="420" w:hanging="420"/>
        <w:rPr>
          <w:rFonts w:ascii="DINOT" w:hAnsi="DINOT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>
        <w:rPr>
          <w:rFonts w:ascii="DINOT" w:hAnsi="DINOT"/>
        </w:rPr>
        <w:tab/>
      </w:r>
      <w:r w:rsidRPr="00D22D26">
        <w:rPr>
          <w:rFonts w:ascii="DINOT" w:hAnsi="DINOT"/>
        </w:rPr>
        <w:t>7. Worin liegt der Unterschied zwischen heidnischem Gebet und dem Gebet der Jünger Jesu?</w:t>
      </w:r>
    </w:p>
    <w:p w14:paraId="302FB7FE" w14:textId="77777777" w:rsidR="00D22D26" w:rsidRDefault="00D22D26" w:rsidP="00D22D26">
      <w:pPr>
        <w:ind w:left="420"/>
        <w:rPr>
          <w:rFonts w:ascii="DINOT" w:hAnsi="DINOT"/>
        </w:rPr>
      </w:pPr>
    </w:p>
    <w:p w14:paraId="5AC90489" w14:textId="0714488B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>Wie verhält sich das „Richtet nicht“ aus Mt.7 zu dem „Prüfet alles“ aus 1.Thess.5?</w:t>
      </w:r>
    </w:p>
    <w:p w14:paraId="1F65CEAE" w14:textId="77777777" w:rsidR="00D22D26" w:rsidRDefault="00D22D26" w:rsidP="00D22D26">
      <w:pPr>
        <w:ind w:left="420"/>
        <w:rPr>
          <w:rFonts w:ascii="DINOT" w:hAnsi="DINOT"/>
        </w:rPr>
      </w:pPr>
    </w:p>
    <w:p w14:paraId="6CBFE830" w14:textId="31B2474B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>Inwiefern unterscheidet sich die „Goldene Regel“ von dem deutschen Sprichwort?</w:t>
      </w:r>
    </w:p>
    <w:p w14:paraId="193B7346" w14:textId="77777777" w:rsidR="00A54ED9" w:rsidRPr="00D22D26" w:rsidRDefault="00EA315F">
      <w:pPr>
        <w:rPr>
          <w:rFonts w:ascii="DINOT" w:hAnsi="DINOT"/>
        </w:rPr>
      </w:pPr>
      <w:r w:rsidRPr="00D22D26">
        <w:rPr>
          <w:rFonts w:ascii="DINOT" w:hAnsi="DINOT"/>
        </w:rPr>
        <w:t xml:space="preserve">         </w:t>
      </w:r>
    </w:p>
    <w:p w14:paraId="18C20565" w14:textId="77777777" w:rsidR="00A54ED9" w:rsidRPr="00D22D26" w:rsidRDefault="00EA315F">
      <w:pPr>
        <w:rPr>
          <w:rFonts w:ascii="DINOT" w:hAnsi="DINOT"/>
        </w:rPr>
      </w:pPr>
      <w:r w:rsidRPr="00D22D26">
        <w:rPr>
          <w:rFonts w:ascii="DINOT" w:hAnsi="DINOT"/>
        </w:rPr>
        <w:t>Wie erklärt sich die Wirkung der Bergpredigt?</w:t>
      </w:r>
    </w:p>
    <w:p w14:paraId="6655B9AC" w14:textId="77777777" w:rsidR="00A54ED9" w:rsidRPr="00D22D26" w:rsidRDefault="00A54ED9">
      <w:pPr>
        <w:rPr>
          <w:rFonts w:ascii="DINOT" w:hAnsi="DINOT"/>
          <w:u w:val="single"/>
        </w:rPr>
      </w:pPr>
    </w:p>
    <w:p w14:paraId="01C0EE5B" w14:textId="77777777" w:rsidR="00A54ED9" w:rsidRPr="00D22D26" w:rsidRDefault="00EA315F" w:rsidP="00D22D26">
      <w:pPr>
        <w:pStyle w:val="berschrift1"/>
      </w:pPr>
      <w:r w:rsidRPr="00D22D26">
        <w:t>Aufgaben</w:t>
      </w:r>
    </w:p>
    <w:p w14:paraId="6184B7A1" w14:textId="409B5996" w:rsidR="00A54ED9" w:rsidRPr="00D22D26" w:rsidRDefault="00EA315F" w:rsidP="00D22D26">
      <w:pPr>
        <w:ind w:left="420" w:hanging="420"/>
        <w:rPr>
          <w:rFonts w:ascii="DINOT" w:hAnsi="DINOT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>
        <w:rPr>
          <w:rFonts w:ascii="DINOT" w:hAnsi="DINOT"/>
        </w:rPr>
        <w:tab/>
      </w:r>
      <w:r w:rsidRPr="00D22D26">
        <w:rPr>
          <w:rFonts w:ascii="DINOT" w:hAnsi="DINOT"/>
        </w:rPr>
        <w:t>1. Inwiefern verhil</w:t>
      </w:r>
      <w:r w:rsidRPr="00D22D26">
        <w:rPr>
          <w:rFonts w:ascii="DINOT" w:hAnsi="DINOT"/>
        </w:rPr>
        <w:t xml:space="preserve">ft das hebräische Denken (Lapide, Messianisches Judentum) zum Verständnis </w:t>
      </w:r>
      <w:r w:rsidRPr="00D22D26">
        <w:rPr>
          <w:rFonts w:ascii="DINOT" w:hAnsi="DINOT"/>
        </w:rPr>
        <w:t>der Bergpredigt?</w:t>
      </w:r>
    </w:p>
    <w:p w14:paraId="3B857987" w14:textId="77777777" w:rsidR="00A54ED9" w:rsidRPr="00D22D26" w:rsidRDefault="00A54ED9">
      <w:pPr>
        <w:rPr>
          <w:rFonts w:ascii="DINOT" w:hAnsi="DINOT"/>
          <w:u w:val="single"/>
        </w:rPr>
      </w:pPr>
    </w:p>
    <w:p w14:paraId="0A93F8F4" w14:textId="01E3B416" w:rsidR="00A54ED9" w:rsidRPr="00D22D26" w:rsidRDefault="00EA315F" w:rsidP="00D22D26">
      <w:pPr>
        <w:ind w:left="420" w:hanging="420"/>
        <w:rPr>
          <w:rFonts w:ascii="DINOT" w:hAnsi="DINOT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>
        <w:rPr>
          <w:rFonts w:ascii="DINOT" w:hAnsi="DINOT"/>
        </w:rPr>
        <w:tab/>
      </w:r>
      <w:r w:rsidRPr="00D22D26">
        <w:rPr>
          <w:rFonts w:ascii="DINOT" w:hAnsi="DINOT"/>
        </w:rPr>
        <w:t>3. Was versteht das Judentum unter dem Begriff „Gesetz“? Was verstehen Jesus und Paulus</w:t>
      </w:r>
      <w:r w:rsidR="00D22D26">
        <w:rPr>
          <w:rFonts w:ascii="DINOT" w:hAnsi="DINOT"/>
        </w:rPr>
        <w:t xml:space="preserve"> </w:t>
      </w:r>
      <w:r w:rsidRPr="00D22D26">
        <w:rPr>
          <w:rFonts w:ascii="DINOT" w:hAnsi="DINOT"/>
        </w:rPr>
        <w:t>darunter?</w:t>
      </w:r>
    </w:p>
    <w:p w14:paraId="69C25200" w14:textId="77777777" w:rsidR="00A54ED9" w:rsidRPr="00D22D26" w:rsidRDefault="00A54ED9">
      <w:pPr>
        <w:rPr>
          <w:rFonts w:ascii="DINOT" w:hAnsi="DINOT"/>
        </w:rPr>
      </w:pPr>
    </w:p>
    <w:p w14:paraId="5ED0AE07" w14:textId="7AD1E47D" w:rsidR="00A54ED9" w:rsidRPr="00D22D26" w:rsidRDefault="00EA315F" w:rsidP="00D22D26">
      <w:pPr>
        <w:ind w:left="420"/>
        <w:rPr>
          <w:rFonts w:ascii="DINOT" w:hAnsi="DINOT"/>
        </w:rPr>
      </w:pPr>
      <w:r w:rsidRPr="00D22D26">
        <w:rPr>
          <w:rFonts w:ascii="DINOT" w:hAnsi="DINOT"/>
        </w:rPr>
        <w:t>Was versteht das Judentum unter dem Begriff „Gerec</w:t>
      </w:r>
      <w:r w:rsidRPr="00D22D26">
        <w:rPr>
          <w:rFonts w:ascii="DINOT" w:hAnsi="DINOT"/>
        </w:rPr>
        <w:t xml:space="preserve">htigkeit“? Was verstehen Jesus und </w:t>
      </w:r>
      <w:r w:rsidRPr="00D22D26">
        <w:rPr>
          <w:rFonts w:ascii="DINOT" w:hAnsi="DINOT"/>
        </w:rPr>
        <w:t>Paulus darunter?</w:t>
      </w:r>
    </w:p>
    <w:p w14:paraId="06B12F31" w14:textId="77777777" w:rsidR="00A54ED9" w:rsidRPr="00D22D26" w:rsidRDefault="00A54ED9">
      <w:pPr>
        <w:rPr>
          <w:rFonts w:ascii="DINOT" w:hAnsi="DINOT"/>
        </w:rPr>
      </w:pPr>
    </w:p>
    <w:p w14:paraId="0F000261" w14:textId="4AA89EBC" w:rsidR="00A54ED9" w:rsidRPr="00D22D26" w:rsidRDefault="00EA315F" w:rsidP="00D22D26">
      <w:pPr>
        <w:ind w:left="420" w:hanging="420"/>
        <w:rPr>
          <w:rFonts w:ascii="DINOT" w:hAnsi="DINOT"/>
          <w:u w:val="single"/>
        </w:rPr>
      </w:pPr>
      <w:proofErr w:type="spellStart"/>
      <w:r w:rsidRPr="00D22D26">
        <w:rPr>
          <w:rFonts w:ascii="DINOT" w:hAnsi="DINOT"/>
        </w:rPr>
        <w:t>ad</w:t>
      </w:r>
      <w:proofErr w:type="spellEnd"/>
      <w:r w:rsidRPr="00D22D26">
        <w:rPr>
          <w:rFonts w:ascii="DINOT" w:hAnsi="DINOT"/>
        </w:rPr>
        <w:t xml:space="preserve"> </w:t>
      </w:r>
      <w:r w:rsidR="00D22D26" w:rsidRPr="00D22D26">
        <w:rPr>
          <w:rFonts w:ascii="DINOT" w:hAnsi="DINOT"/>
        </w:rPr>
        <w:tab/>
      </w:r>
      <w:r w:rsidRPr="00D22D26">
        <w:rPr>
          <w:rFonts w:ascii="DINOT" w:hAnsi="DINOT"/>
        </w:rPr>
        <w:t>4. Diskussion mit Franz Alt</w:t>
      </w:r>
      <w:r w:rsidR="00D22D26">
        <w:rPr>
          <w:rFonts w:ascii="DINOT" w:hAnsi="DINOT"/>
          <w:u w:val="single"/>
        </w:rPr>
        <w:t xml:space="preserve"> </w:t>
      </w:r>
      <w:r w:rsidR="00D22D26">
        <w:rPr>
          <w:rFonts w:ascii="DINOT" w:hAnsi="DINOT"/>
          <w:u w:val="single"/>
        </w:rPr>
        <w:br/>
      </w:r>
      <w:r w:rsidRPr="00D22D26">
        <w:rPr>
          <w:rFonts w:ascii="DINOT" w:hAnsi="DINOT"/>
        </w:rPr>
        <w:t>Was kann man Alt an Argumenten entgegenhalten? Was spricht für seinen Ansatz?</w:t>
      </w:r>
    </w:p>
    <w:p w14:paraId="0E67FC69" w14:textId="77777777" w:rsidR="00A54ED9" w:rsidRPr="00D22D26" w:rsidRDefault="00A54ED9">
      <w:pPr>
        <w:rPr>
          <w:rFonts w:ascii="DINOT" w:hAnsi="DINOT"/>
        </w:rPr>
      </w:pPr>
    </w:p>
    <w:sectPr w:rsidR="00A54ED9" w:rsidRPr="00D22D26" w:rsidSect="00D22D26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E36A" w14:textId="77777777" w:rsidR="00EA315F" w:rsidRDefault="00EA315F">
      <w:r>
        <w:separator/>
      </w:r>
    </w:p>
  </w:endnote>
  <w:endnote w:type="continuationSeparator" w:id="0">
    <w:p w14:paraId="732B90E2" w14:textId="77777777" w:rsidR="00EA315F" w:rsidRDefault="00EA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5E51" w14:textId="77777777" w:rsidR="00EA315F" w:rsidRDefault="00EA315F">
      <w:r>
        <w:rPr>
          <w:color w:val="000000"/>
        </w:rPr>
        <w:separator/>
      </w:r>
    </w:p>
  </w:footnote>
  <w:footnote w:type="continuationSeparator" w:id="0">
    <w:p w14:paraId="28B4FECF" w14:textId="77777777" w:rsidR="00EA315F" w:rsidRDefault="00EA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ED9"/>
    <w:rsid w:val="00A54ED9"/>
    <w:rsid w:val="00D22D26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4FD"/>
  <w15:docId w15:val="{B34FE60E-9A65-4CDA-AC98-AB0C30C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2D2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link w:val="TitelZchn"/>
    <w:uiPriority w:val="10"/>
    <w:qFormat/>
    <w:rsid w:val="00D22D2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D22D26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2D26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2D26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2D2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Mangold</dc:creator>
  <cp:lastModifiedBy>Sebastian</cp:lastModifiedBy>
  <cp:revision>2</cp:revision>
  <dcterms:created xsi:type="dcterms:W3CDTF">2020-06-29T16:11:00Z</dcterms:created>
  <dcterms:modified xsi:type="dcterms:W3CDTF">2020-06-29T16:11:00Z</dcterms:modified>
</cp:coreProperties>
</file>