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Background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25"/>
        <w:gridCol w:w="2535"/>
        <w:tblGridChange w:id="0">
          <w:tblGrid>
            <w:gridCol w:w="6825"/>
            <w:gridCol w:w="25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right w:color="auto" w:space="15" w:sz="0" w:val="none"/>
              </w:pBdr>
              <w:bidi w:val="1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333333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color w:val="333333"/>
                <w:rtl w:val="1"/>
              </w:rPr>
              <w:t xml:space="preserve">בבא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Cardo" w:cs="Cardo" w:eastAsia="Cardo" w:hAnsi="Cardo"/>
                <w:b w:val="1"/>
                <w:color w:val="333333"/>
                <w:rtl w:val="1"/>
              </w:rPr>
              <w:t xml:space="preserve">מציעא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1"/>
              </w:rPr>
              <w:t xml:space="preserve"> </w:t>
            </w:r>
            <w:r w:rsidDel="00000000" w:rsidR="00000000" w:rsidRPr="00000000">
              <w:rPr>
                <w:rFonts w:ascii="Cardo" w:cs="Cardo" w:eastAsia="Cardo" w:hAnsi="Cardo"/>
                <w:b w:val="1"/>
                <w:color w:val="333333"/>
                <w:rtl w:val="1"/>
              </w:rPr>
              <w:t xml:space="preserve">נט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right w:color="auto" w:space="15" w:sz="0" w:val="none"/>
              </w:pBdr>
              <w:spacing w:line="240" w:lineRule="auto"/>
              <w:rPr/>
            </w:pP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0"/>
              </w:rPr>
              <w:t xml:space="preserve">e learned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in a mishna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0"/>
              </w:rPr>
              <w:t xml:space="preserve">there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(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333333"/>
                <w:rtl w:val="0"/>
              </w:rPr>
              <w:t xml:space="preserve">Kelim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5:10): If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0"/>
              </w:rPr>
              <w:t xml:space="preserve">one cut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an earthenware oven widthwise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0"/>
              </w:rPr>
              <w:t xml:space="preserve">into segments, and placed sand between each and every segment, Rabbi Eliezer deems it ritually pure.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Because of the sand, its legal status is not that of a complete vessel, and therefore it is not susceptible to ritual impurity.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333333"/>
                <w:rtl w:val="0"/>
              </w:rPr>
              <w:t xml:space="preserve">And the Rabbis deem it ritually impure,</w:t>
            </w:r>
            <w:r w:rsidDel="00000000" w:rsidR="00000000" w:rsidRPr="00000000">
              <w:rPr>
                <w:rFonts w:ascii="Georgia" w:cs="Georgia" w:eastAsia="Georgia" w:hAnsi="Georgia"/>
                <w:color w:val="333333"/>
                <w:rtl w:val="0"/>
              </w:rPr>
              <w:t xml:space="preserve"> as it is functionally a complete oven.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left w:color="auto" w:space="15" w:sz="0" w:val="none"/>
              </w:pBdr>
              <w:bidi w:val="1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תנן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התם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חתכו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חוליות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ונתן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חול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בין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חוליא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לחוליא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מטהר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וחכמים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1"/>
              </w:rPr>
              <w:t xml:space="preserve">מטמאין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Translation: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וזהו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תנור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של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עכנאי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?______________________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אמר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______________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שהקיפו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,_______________________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וטמאוהו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030"/>
        <w:gridCol w:w="2775"/>
        <w:tblGridChange w:id="0">
          <w:tblGrid>
            <w:gridCol w:w="3555"/>
            <w:gridCol w:w="303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פירוש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שורש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עכנאי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מאי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שהקיפו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וטמאוהו</w:t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for Understanding:</w:t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dispute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b w:val="1"/>
          <w:rtl w:val="1"/>
        </w:rPr>
        <w:t xml:space="preserve">תנור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עכנאי</w:t>
      </w:r>
      <w:r w:rsidDel="00000000" w:rsidR="00000000" w:rsidRPr="00000000">
        <w:rPr>
          <w:b w:val="1"/>
          <w:rtl w:val="0"/>
        </w:rPr>
        <w:t xml:space="preserve">” </w:t>
      </w: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about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called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b w:val="1"/>
          <w:rtl w:val="1"/>
        </w:rPr>
        <w:t xml:space="preserve">תנור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עכנאי</w:t>
      </w:r>
      <w:r w:rsidDel="00000000" w:rsidR="00000000" w:rsidRPr="00000000">
        <w:rPr>
          <w:b w:val="1"/>
          <w:rtl w:val="0"/>
        </w:rPr>
        <w:t xml:space="preserve">?”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</w:t>
      </w:r>
    </w:p>
    <w:p w:rsidR="00000000" w:rsidDel="00000000" w:rsidP="00000000" w:rsidRDefault="00000000" w:rsidRPr="00000000" w14:paraId="0000005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2:</w:t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תנא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________________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נעקר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________________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bidi w:val="1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030"/>
        <w:gridCol w:w="2775"/>
        <w:tblGridChange w:id="0">
          <w:tblGrid>
            <w:gridCol w:w="3555"/>
            <w:gridCol w:w="303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פירוש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שורש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תנא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הימנו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כמו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כמותי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חרוב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נעקר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Some 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אמר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אמרי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ראיה</w:t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Notes:</w:t>
      </w:r>
    </w:p>
    <w:p w:rsidR="00000000" w:rsidDel="00000000" w:rsidP="00000000" w:rsidRDefault="00000000" w:rsidRPr="00000000" w14:paraId="000000C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D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3:</w:t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חזר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ואמר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להם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חזרו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_______________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4:</w:t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3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3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הטו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________________</w:t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4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גער</w:t>
            </w:r>
            <w:r w:rsidDel="00000000" w:rsidR="00000000" w:rsidRPr="00000000">
              <w:rPr>
                <w:rtl w:val="0"/>
              </w:rPr>
              <w:t xml:space="preserve"> ___________________</w:t>
            </w:r>
          </w:p>
          <w:p w:rsidR="00000000" w:rsidDel="00000000" w:rsidP="00000000" w:rsidRDefault="00000000" w:rsidRPr="00000000" w14:paraId="0000015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אתם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_______________</w:t>
            </w:r>
          </w:p>
          <w:p w:rsidR="00000000" w:rsidDel="00000000" w:rsidP="00000000" w:rsidRDefault="00000000" w:rsidRPr="00000000" w14:paraId="0000016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?״</w:t>
            </w:r>
          </w:p>
          <w:p w:rsidR="00000000" w:rsidDel="00000000" w:rsidP="00000000" w:rsidRDefault="00000000" w:rsidRPr="00000000" w14:paraId="0000016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לא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16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7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ועומדין</w:t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030"/>
        <w:gridCol w:w="2775"/>
        <w:tblGridChange w:id="0">
          <w:tblGrid>
            <w:gridCol w:w="3555"/>
            <w:gridCol w:w="303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פירוש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שורש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הטו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נפל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ליפול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גער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טיבכם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זקפו</w:t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5:</w:t>
      </w:r>
    </w:p>
    <w:tbl>
      <w:tblPr>
        <w:tblStyle w:val="Table9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AD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יצאתה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______________</w:t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עמד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________________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D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היא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Vocab: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3030"/>
        <w:gridCol w:w="2775"/>
        <w:tblGridChange w:id="0">
          <w:tblGrid>
            <w:gridCol w:w="3555"/>
            <w:gridCol w:w="3030"/>
            <w:gridCol w:w="277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פירוש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שורש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Hint: remember to read past the first line of Jastrow!</w:t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בת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קול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בכל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בכ</w:t>
            </w:r>
            <w:r w:rsidDel="00000000" w:rsidR="00000000" w:rsidRPr="00000000">
              <w:rPr>
                <w:rtl w:val="1"/>
              </w:rPr>
              <w:t xml:space="preserve">״</w:t>
            </w:r>
            <w:r w:rsidDel="00000000" w:rsidR="00000000" w:rsidRPr="00000000">
              <w:rPr>
                <w:rtl w:val="1"/>
              </w:rPr>
              <w:t xml:space="preserve">מ</w:t>
            </w:r>
          </w:p>
        </w:tc>
      </w:tr>
    </w:tbl>
    <w:p w:rsidR="00000000" w:rsidDel="00000000" w:rsidP="00000000" w:rsidRDefault="00000000" w:rsidRPr="00000000" w14:paraId="000001E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Notes:</w:t>
      </w:r>
    </w:p>
    <w:p w:rsidR="00000000" w:rsidDel="00000000" w:rsidP="00000000" w:rsidRDefault="00000000" w:rsidRPr="00000000" w14:paraId="000001E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Content (Summary): __________________________________________________________</w:t>
      </w:r>
    </w:p>
    <w:p w:rsidR="00000000" w:rsidDel="00000000" w:rsidP="00000000" w:rsidRDefault="00000000" w:rsidRPr="00000000" w14:paraId="000001E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E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1F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Concepts (Big Ideas):</w:t>
      </w:r>
    </w:p>
    <w:p w:rsidR="00000000" w:rsidDel="00000000" w:rsidP="00000000" w:rsidRDefault="00000000" w:rsidRPr="00000000" w14:paraId="000001F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1)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F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0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2) __________________________________________________________________________</w:t>
      </w:r>
    </w:p>
    <w:p w:rsidR="00000000" w:rsidDel="00000000" w:rsidP="00000000" w:rsidRDefault="00000000" w:rsidRPr="00000000" w14:paraId="000002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3) __________________________________________________________________________</w:t>
      </w:r>
    </w:p>
    <w:p w:rsidR="00000000" w:rsidDel="00000000" w:rsidP="00000000" w:rsidRDefault="00000000" w:rsidRPr="00000000" w14:paraId="000002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6:</w:t>
      </w:r>
    </w:p>
    <w:tbl>
      <w:tblPr>
        <w:tblStyle w:val="Table1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מאי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_________________</w:t>
            </w:r>
          </w:p>
          <w:p w:rsidR="00000000" w:rsidDel="00000000" w:rsidP="00000000" w:rsidRDefault="00000000" w:rsidRPr="00000000" w14:paraId="0000021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___________________?</w:t>
            </w:r>
          </w:p>
          <w:p w:rsidR="00000000" w:rsidDel="00000000" w:rsidP="00000000" w:rsidRDefault="00000000" w:rsidRPr="00000000" w14:paraId="0000021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2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2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אין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________________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שכבר</w:t>
            </w:r>
            <w:r w:rsidDel="00000000" w:rsidR="00000000" w:rsidRPr="00000000">
              <w:rPr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4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אחרי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24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Vocab:</w:t>
      </w:r>
    </w:p>
    <w:tbl>
      <w:tblPr>
        <w:tblStyle w:val="Table1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210"/>
        <w:gridCol w:w="2430"/>
        <w:tblGridChange w:id="0">
          <w:tblGrid>
            <w:gridCol w:w="3720"/>
            <w:gridCol w:w="321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look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up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Jastro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מאי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שגח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משגיחין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Hint: Not a Rabbi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רב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רבים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We’ve had this one already!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להטות</w:t>
            </w:r>
          </w:p>
        </w:tc>
      </w:tr>
    </w:tbl>
    <w:p w:rsidR="00000000" w:rsidDel="00000000" w:rsidP="00000000" w:rsidRDefault="00000000" w:rsidRPr="00000000" w14:paraId="0000026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Notes:</w:t>
      </w:r>
    </w:p>
    <w:p w:rsidR="00000000" w:rsidDel="00000000" w:rsidP="00000000" w:rsidRDefault="00000000" w:rsidRPr="00000000" w14:paraId="000002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Translation 7:</w:t>
      </w:r>
    </w:p>
    <w:tbl>
      <w:tblPr>
        <w:tblStyle w:val="Table1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מקור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אשכחיה</w:t>
            </w:r>
            <w:r w:rsidDel="00000000" w:rsidR="00000000" w:rsidRPr="00000000">
              <w:rPr>
                <w:rtl w:val="0"/>
              </w:rPr>
              <w:t xml:space="preserve"> ________________</w:t>
            </w:r>
          </w:p>
          <w:p w:rsidR="00000000" w:rsidDel="00000000" w:rsidP="00000000" w:rsidRDefault="00000000" w:rsidRPr="00000000" w14:paraId="0000028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9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״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(=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אמר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ליה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_________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A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ageBreakBefore w:val="0"/>
              <w:widowControl w:val="0"/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Vocab:</w:t>
      </w:r>
    </w:p>
    <w:tbl>
      <w:tblPr>
        <w:tblStyle w:val="Table1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210"/>
        <w:gridCol w:w="2430"/>
        <w:tblGridChange w:id="0">
          <w:tblGrid>
            <w:gridCol w:w="3720"/>
            <w:gridCol w:w="321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Translation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שורש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look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up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Jastro</w:t>
            </w:r>
            <w:r w:rsidDel="00000000" w:rsidR="00000000" w:rsidRPr="00000000">
              <w:rPr>
                <w:b w:val="1"/>
                <w:rtl w:val="1"/>
              </w:rPr>
              <w:t xml:space="preserve">ש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אשכח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אשכחיה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ageBreakBefore w:val="0"/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קדוש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הוא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קוב</w:t>
            </w:r>
            <w:r w:rsidDel="00000000" w:rsidR="00000000" w:rsidRPr="00000000">
              <w:rPr>
                <w:rtl w:val="1"/>
              </w:rPr>
              <w:t xml:space="preserve">״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חייך</w:t>
            </w:r>
          </w:p>
        </w:tc>
      </w:tr>
    </w:tbl>
    <w:p w:rsidR="00000000" w:rsidDel="00000000" w:rsidP="00000000" w:rsidRDefault="00000000" w:rsidRPr="00000000" w14:paraId="000002CA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Notes:</w:t>
      </w:r>
    </w:p>
    <w:p w:rsidR="00000000" w:rsidDel="00000000" w:rsidP="00000000" w:rsidRDefault="00000000" w:rsidRPr="00000000" w14:paraId="000002C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D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E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F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F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F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2F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8">
    <w:pPr>
      <w:pageBreakBefore w:val="0"/>
      <w:bidi w:val="1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9">
    <w:pPr>
      <w:pageBreakBefore w:val="0"/>
      <w:bidi w:val="1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sz w:val="20"/>
        <w:szCs w:val="20"/>
        <w:rtl w:val="1"/>
      </w:rPr>
      <w:t xml:space="preserve"> | </w:t>
    </w:r>
    <w:r w:rsidDel="00000000" w:rsidR="00000000" w:rsidRPr="00000000">
      <w:rPr>
        <w:sz w:val="20"/>
        <w:szCs w:val="20"/>
        <w:rtl w:val="1"/>
      </w:rPr>
      <w:t xml:space="preserve">בין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מסורת</w:t>
    </w:r>
    <w:r w:rsidDel="00000000" w:rsidR="00000000" w:rsidRPr="00000000">
      <w:rPr>
        <w:sz w:val="20"/>
        <w:szCs w:val="20"/>
        <w:rtl w:val="1"/>
      </w:rPr>
      <w:t xml:space="preserve"> </w:t>
    </w:r>
    <w:r w:rsidDel="00000000" w:rsidR="00000000" w:rsidRPr="00000000">
      <w:rPr>
        <w:sz w:val="20"/>
        <w:szCs w:val="20"/>
        <w:rtl w:val="1"/>
      </w:rPr>
      <w:t xml:space="preserve">לחידוש</w:t>
    </w:r>
  </w:p>
  <w:p w:rsidR="00000000" w:rsidDel="00000000" w:rsidP="00000000" w:rsidRDefault="00000000" w:rsidRPr="00000000" w14:paraId="000002FA">
    <w:pPr>
      <w:pageBreakBefore w:val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Translation Worksheet 1</w:t>
    </w:r>
  </w:p>
  <w:p w:rsidR="00000000" w:rsidDel="00000000" w:rsidP="00000000" w:rsidRDefault="00000000" w:rsidRPr="00000000" w14:paraId="000002FB">
    <w:pPr>
      <w:pageBreakBefore w:val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Rabbi David Stein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