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880"/>
        <w:gridCol w:w="7920"/>
        <w:tblGridChange w:id="0">
          <w:tblGrid>
            <w:gridCol w:w="2880"/>
            <w:gridCol w:w="7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</w:rPr>
              <w:drawing>
                <wp:inline distB="114300" distT="114300" distL="114300" distR="114300">
                  <wp:extent cx="1924050" cy="108008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3462" l="0" r="0" t="20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080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32"/>
                <w:szCs w:val="32"/>
                <w:rtl w:val="0"/>
              </w:rPr>
              <w:t xml:space="preserve">Training Video Bullet Points</w:t>
            </w:r>
          </w:p>
        </w:tc>
      </w:tr>
    </w:tbl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celokkeui6fo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Overview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Equip volunteers to invite neighbors through flyer distribution.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Simple instructions with a focus on impact and purpose.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bookmarkStart w:colFirst="0" w:colLast="0" w:name="_vtwmmilex7pp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Bullet Points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Introduction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Thank volunteers for participating.</w:t>
        <w:br w:type="textWrapping"/>
        <w:t xml:space="preserve">Purpose: Invite the community to church and share the good happening there.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Big Picture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Flyers are tools to help people take steps toward Jesus.</w:t>
        <w:br w:type="textWrapping"/>
        <w:t xml:space="preserve">Imagine the impact of reaching 100+ homes.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Tips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Pray: Quick prayer before you go.</w:t>
        <w:br w:type="textWrapping"/>
        <w:t xml:space="preserve">Timing: Mornings or evenings work best; about an hour for 70-100 homes.</w:t>
        <w:br w:type="textWrapping"/>
        <w:t xml:space="preserve">Placement: Mailboxes only; skip homes with “No Solicitation” signs.</w:t>
        <w:br w:type="textWrapping"/>
        <w:t xml:space="preserve">Safety: Stay hydrated, dress comfortably, and avoid headphones.</w:t>
        <w:br w:type="textWrapping"/>
        <w:t xml:space="preserve">Conversations: Keep it simple—"It’s a church event flyer; can I put it in your mailbox?"</w:t>
        <w:br w:type="textWrapping"/>
        <w:t xml:space="preserve">Make it Fun: Bring friends or family; kids love helping.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Wrap-Up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Deliver within the given timeframe.</w:t>
        <w:br w:type="textWrapping"/>
        <w:t xml:space="preserve">Let your team leader know how it went.</w:t>
        <w:br w:type="textWrapping"/>
        <w:t xml:space="preserve">Share any cool stories!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Final Encouragement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Have fun and know you’re making a difference.</w:t>
        <w:br w:type="textWrapping"/>
        <w:t xml:space="preserve">This small act can lead to big things in someone’s life!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