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A456" w14:textId="68147F2C" w:rsidR="00F70DC8" w:rsidRDefault="00F70DC8" w:rsidP="00F70DC8">
      <w:pPr>
        <w:rPr>
          <w:rFonts w:ascii="Times New Roman" w:hAnsi="Times New Roman" w:cs="Times New Roman"/>
          <w:b/>
          <w:bCs/>
          <w:sz w:val="28"/>
          <w:szCs w:val="28"/>
          <w:u w:val="single"/>
        </w:rPr>
      </w:pPr>
      <w:r w:rsidRPr="00B20A98">
        <w:rPr>
          <w:rFonts w:ascii="Times New Roman" w:hAnsi="Times New Roman" w:cs="Times New Roman"/>
          <w:b/>
          <w:bCs/>
          <w:sz w:val="28"/>
          <w:szCs w:val="28"/>
          <w:u w:val="single"/>
        </w:rPr>
        <w:t>Fannie and F</w:t>
      </w:r>
      <w:r w:rsidR="0038310B">
        <w:rPr>
          <w:rFonts w:ascii="Times New Roman" w:hAnsi="Times New Roman" w:cs="Times New Roman"/>
          <w:b/>
          <w:bCs/>
          <w:sz w:val="28"/>
          <w:szCs w:val="28"/>
          <w:u w:val="single"/>
        </w:rPr>
        <w:t>r</w:t>
      </w:r>
      <w:r w:rsidRPr="00B20A98">
        <w:rPr>
          <w:rFonts w:ascii="Times New Roman" w:hAnsi="Times New Roman" w:cs="Times New Roman"/>
          <w:b/>
          <w:bCs/>
          <w:sz w:val="28"/>
          <w:szCs w:val="28"/>
          <w:u w:val="single"/>
        </w:rPr>
        <w:t>eddie Multifamily Loans</w:t>
      </w:r>
      <w:r w:rsidR="0038310B">
        <w:rPr>
          <w:rFonts w:ascii="Times New Roman" w:hAnsi="Times New Roman" w:cs="Times New Roman"/>
          <w:b/>
          <w:bCs/>
          <w:sz w:val="28"/>
          <w:szCs w:val="28"/>
          <w:u w:val="single"/>
        </w:rPr>
        <w:t xml:space="preserve"> (5+ unites)</w:t>
      </w:r>
      <w:r w:rsidRPr="00B20A98">
        <w:rPr>
          <w:rFonts w:ascii="Times New Roman" w:hAnsi="Times New Roman" w:cs="Times New Roman"/>
          <w:b/>
          <w:bCs/>
          <w:sz w:val="28"/>
          <w:szCs w:val="28"/>
          <w:u w:val="single"/>
        </w:rPr>
        <w:t xml:space="preserve">. </w:t>
      </w:r>
    </w:p>
    <w:p w14:paraId="4CC9F9B5" w14:textId="4F1E96C5" w:rsidR="00F70DC8" w:rsidRPr="00B20A98" w:rsidRDefault="00F70DC8" w:rsidP="00F70DC8">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Update as of </w:t>
      </w:r>
      <w:r w:rsidR="0038310B">
        <w:rPr>
          <w:rFonts w:ascii="Times New Roman" w:hAnsi="Times New Roman" w:cs="Times New Roman"/>
          <w:b/>
          <w:bCs/>
          <w:sz w:val="28"/>
          <w:szCs w:val="28"/>
          <w:u w:val="single"/>
        </w:rPr>
        <w:t>3.26.20</w:t>
      </w:r>
    </w:p>
    <w:p w14:paraId="390A78A5" w14:textId="77777777" w:rsidR="00F70DC8" w:rsidRDefault="00F70DC8" w:rsidP="00F70DC8"/>
    <w:tbl>
      <w:tblPr>
        <w:tblW w:w="5000" w:type="pct"/>
        <w:tblCellMar>
          <w:top w:w="300" w:type="dxa"/>
          <w:left w:w="300" w:type="dxa"/>
          <w:bottom w:w="300" w:type="dxa"/>
          <w:right w:w="300" w:type="dxa"/>
        </w:tblCellMar>
        <w:tblLook w:val="04A0" w:firstRow="1" w:lastRow="0" w:firstColumn="1" w:lastColumn="0" w:noHBand="0" w:noVBand="1"/>
      </w:tblPr>
      <w:tblGrid>
        <w:gridCol w:w="9360"/>
      </w:tblGrid>
      <w:tr w:rsidR="00F70DC8" w:rsidRPr="00FE73D6" w14:paraId="4BB4DAE9" w14:textId="77777777" w:rsidTr="00F833DC">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52"/>
            </w:tblGrid>
            <w:tr w:rsidR="00F70DC8" w:rsidRPr="00FE73D6" w14:paraId="2EA604BF" w14:textId="77777777" w:rsidTr="00F833DC">
              <w:tc>
                <w:tcPr>
                  <w:tcW w:w="5000" w:type="pct"/>
                  <w:tcBorders>
                    <w:left w:val="single" w:sz="6" w:space="0" w:color="CCCCCC"/>
                  </w:tcBorders>
                  <w:hideMark/>
                </w:tcPr>
                <w:p w14:paraId="30BA10C2" w14:textId="77777777" w:rsidR="00F70DC8" w:rsidRPr="00FE73D6" w:rsidRDefault="00F70DC8" w:rsidP="00F833DC">
                  <w:pPr>
                    <w:spacing w:line="360" w:lineRule="atLeast"/>
                    <w:rPr>
                      <w:rFonts w:ascii="Arial" w:eastAsia="Times New Roman" w:hAnsi="Arial" w:cs="Arial"/>
                      <w:color w:val="003871"/>
                    </w:rPr>
                  </w:pPr>
                  <w:r w:rsidRPr="00FE73D6">
                    <w:rPr>
                      <w:rFonts w:ascii="Arial" w:eastAsia="Times New Roman" w:hAnsi="Arial" w:cs="Arial"/>
                      <w:color w:val="003871"/>
                    </w:rPr>
                    <w:t> </w:t>
                  </w:r>
                </w:p>
                <w:tbl>
                  <w:tblPr>
                    <w:tblW w:w="5000" w:type="pct"/>
                    <w:shd w:val="clear" w:color="auto" w:fill="FFFFFF"/>
                    <w:tblCellMar>
                      <w:left w:w="0" w:type="dxa"/>
                      <w:right w:w="0" w:type="dxa"/>
                    </w:tblCellMar>
                    <w:tblLook w:val="04A0" w:firstRow="1" w:lastRow="0" w:firstColumn="1" w:lastColumn="0" w:noHBand="0" w:noVBand="1"/>
                  </w:tblPr>
                  <w:tblGrid>
                    <w:gridCol w:w="9336"/>
                  </w:tblGrid>
                  <w:tr w:rsidR="00F70DC8" w14:paraId="555C91B2" w14:textId="77777777" w:rsidTr="00F70DC8">
                    <w:tc>
                      <w:tcPr>
                        <w:tcW w:w="5000" w:type="pct"/>
                        <w:tcBorders>
                          <w:left w:val="single" w:sz="6" w:space="0" w:color="CCCCCC"/>
                        </w:tcBorders>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328"/>
                        </w:tblGrid>
                        <w:tr w:rsidR="00F70DC8" w14:paraId="4FD68CB0"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20"/>
                              </w:tblGrid>
                              <w:tr w:rsidR="00F70DC8" w14:paraId="241DA5B8" w14:textId="77777777">
                                <w:tc>
                                  <w:tcPr>
                                    <w:tcW w:w="2500" w:type="pct"/>
                                    <w:tcBorders>
                                      <w:left w:val="single" w:sz="6" w:space="0" w:color="CCCCCC"/>
                                    </w:tcBorders>
                                    <w:hideMark/>
                                  </w:tcPr>
                                  <w:tbl>
                                    <w:tblPr>
                                      <w:tblW w:w="5000" w:type="pct"/>
                                      <w:tblCellMar>
                                        <w:top w:w="300" w:type="dxa"/>
                                        <w:left w:w="300" w:type="dxa"/>
                                        <w:bottom w:w="300" w:type="dxa"/>
                                        <w:right w:w="300" w:type="dxa"/>
                                      </w:tblCellMar>
                                      <w:tblLook w:val="04A0" w:firstRow="1" w:lastRow="0" w:firstColumn="1" w:lastColumn="0" w:noHBand="0" w:noVBand="1"/>
                                    </w:tblPr>
                                    <w:tblGrid>
                                      <w:gridCol w:w="9312"/>
                                    </w:tblGrid>
                                    <w:tr w:rsidR="00F70DC8" w14:paraId="71012374"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04"/>
                                          </w:tblGrid>
                                          <w:tr w:rsidR="00F70DC8" w14:paraId="2FCD87FA" w14:textId="77777777">
                                            <w:tc>
                                              <w:tcPr>
                                                <w:tcW w:w="5000" w:type="pct"/>
                                                <w:tcBorders>
                                                  <w:left w:val="single" w:sz="6" w:space="0" w:color="CCCCCC"/>
                                                </w:tcBorders>
                                                <w:hideMark/>
                                              </w:tcPr>
                                              <w:p w14:paraId="6D21B9EA"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The COVID-19 forbearance policies issued by</w:t>
                                                </w:r>
                                                <w:r>
                                                  <w:rPr>
                                                    <w:rStyle w:val="apple-converted-space"/>
                                                    <w:rFonts w:ascii="Arial" w:hAnsi="Arial" w:cs="Arial"/>
                                                    <w:color w:val="003871"/>
                                                  </w:rPr>
                                                  <w:t> </w:t>
                                                </w:r>
                                                <w:r>
                                                  <w:rPr>
                                                    <w:rStyle w:val="Strong"/>
                                                    <w:rFonts w:ascii="Arial" w:hAnsi="Arial" w:cs="Arial"/>
                                                    <w:color w:val="003871"/>
                                                  </w:rPr>
                                                  <w:t>Fannie Mae</w:t>
                                                </w:r>
                                                <w:r>
                                                  <w:rPr>
                                                    <w:rStyle w:val="apple-converted-space"/>
                                                    <w:rFonts w:ascii="Arial" w:hAnsi="Arial" w:cs="Arial"/>
                                                    <w:color w:val="003871"/>
                                                  </w:rPr>
                                                  <w:t> </w:t>
                                                </w:r>
                                                <w:r>
                                                  <w:rPr>
                                                    <w:rFonts w:ascii="Arial" w:hAnsi="Arial" w:cs="Arial"/>
                                                    <w:color w:val="003871"/>
                                                  </w:rPr>
                                                  <w:t>and</w:t>
                                                </w:r>
                                                <w:r>
                                                  <w:rPr>
                                                    <w:rStyle w:val="apple-converted-space"/>
                                                    <w:rFonts w:ascii="Arial" w:hAnsi="Arial" w:cs="Arial"/>
                                                    <w:color w:val="003871"/>
                                                  </w:rPr>
                                                  <w:t> </w:t>
                                                </w:r>
                                                <w:r>
                                                  <w:rPr>
                                                    <w:rStyle w:val="Strong"/>
                                                    <w:rFonts w:ascii="Arial" w:hAnsi="Arial" w:cs="Arial"/>
                                                    <w:color w:val="003871"/>
                                                  </w:rPr>
                                                  <w:t>Freddie Mac</w:t>
                                                </w:r>
                                                <w:r>
                                                  <w:rPr>
                                                    <w:rStyle w:val="apple-converted-space"/>
                                                    <w:rFonts w:ascii="Arial" w:hAnsi="Arial" w:cs="Arial"/>
                                                    <w:color w:val="003871"/>
                                                  </w:rPr>
                                                  <w:t> </w:t>
                                                </w:r>
                                                <w:r>
                                                  <w:rPr>
                                                    <w:rFonts w:ascii="Arial" w:hAnsi="Arial" w:cs="Arial"/>
                                                    <w:color w:val="003871"/>
                                                  </w:rPr>
                                                  <w:t>are a welcome sign that stability is beginning to return to the markets and the economy. Their broad outlines are similar.</w:t>
                                                </w:r>
                                              </w:p>
                                              <w:p w14:paraId="41E6453C"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 </w:t>
                                                </w:r>
                                              </w:p>
                                              <w:p w14:paraId="39FAF91F"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 xml:space="preserve">They will both offer mortgage forbearance to qualified multifamily properties facing hardship as a result of COVID-19, specifically for owners that suspend evictions </w:t>
                                                </w:r>
                                                <w:proofErr w:type="gramStart"/>
                                                <w:r>
                                                  <w:rPr>
                                                    <w:rFonts w:ascii="Arial" w:hAnsi="Arial" w:cs="Arial"/>
                                                    <w:color w:val="003871"/>
                                                  </w:rPr>
                                                  <w:t>on the basis of</w:t>
                                                </w:r>
                                                <w:proofErr w:type="gramEnd"/>
                                                <w:r>
                                                  <w:rPr>
                                                    <w:rFonts w:ascii="Arial" w:hAnsi="Arial" w:cs="Arial"/>
                                                    <w:color w:val="003871"/>
                                                  </w:rPr>
                                                  <w:t xml:space="preserve"> nonpayment of rent. This forbearance guidance is applicable for agency loans that were closed on or before February 1, 2020 and current through their February payments, though guidance is subject to change based on final directions from the agencies and regulator. Other similarities of the two programs include:</w:t>
                                                </w:r>
                                              </w:p>
                                              <w:p w14:paraId="6C33EA6F" w14:textId="77777777" w:rsidR="00F70DC8" w:rsidRDefault="00F70DC8" w:rsidP="00F70DC8">
                                                <w:pPr>
                                                  <w:numPr>
                                                    <w:ilvl w:val="0"/>
                                                    <w:numId w:val="2"/>
                                                  </w:numPr>
                                                  <w:spacing w:before="100" w:beforeAutospacing="1" w:after="100" w:afterAutospacing="1" w:line="360" w:lineRule="atLeast"/>
                                                  <w:rPr>
                                                    <w:rFonts w:ascii="Arial" w:hAnsi="Arial" w:cs="Arial"/>
                                                    <w:color w:val="003871"/>
                                                  </w:rPr>
                                                </w:pPr>
                                                <w:r>
                                                  <w:rPr>
                                                    <w:rFonts w:ascii="Arial" w:hAnsi="Arial" w:cs="Arial"/>
                                                    <w:color w:val="003871"/>
                                                  </w:rPr>
                                                  <w:t>A minimum forbearance period of 30 days, and up to 90 days, in accordance with applicable laws and regulations.</w:t>
                                                </w:r>
                                              </w:p>
                                              <w:p w14:paraId="1EB58BCD" w14:textId="77777777" w:rsidR="00F70DC8" w:rsidRDefault="00F70DC8" w:rsidP="00F70DC8">
                                                <w:pPr>
                                                  <w:numPr>
                                                    <w:ilvl w:val="0"/>
                                                    <w:numId w:val="2"/>
                                                  </w:numPr>
                                                  <w:spacing w:before="100" w:beforeAutospacing="1" w:after="100" w:afterAutospacing="1" w:line="360" w:lineRule="atLeast"/>
                                                  <w:rPr>
                                                    <w:rFonts w:ascii="Arial" w:hAnsi="Arial" w:cs="Arial"/>
                                                    <w:color w:val="003871"/>
                                                  </w:rPr>
                                                </w:pPr>
                                                <w:r>
                                                  <w:rPr>
                                                    <w:rFonts w:ascii="Arial" w:hAnsi="Arial" w:cs="Arial"/>
                                                    <w:color w:val="003871"/>
                                                  </w:rPr>
                                                  <w:t>The agencies will not assess interest penalties or late charges because of nonpayment during those three months, and there will be no additional interest assessed because of forbearance.</w:t>
                                                </w:r>
                                              </w:p>
                                              <w:p w14:paraId="35C10B78" w14:textId="77777777" w:rsidR="00F70DC8" w:rsidRDefault="00F70DC8" w:rsidP="00F70DC8">
                                                <w:pPr>
                                                  <w:numPr>
                                                    <w:ilvl w:val="0"/>
                                                    <w:numId w:val="2"/>
                                                  </w:numPr>
                                                  <w:spacing w:before="100" w:beforeAutospacing="1" w:after="100" w:afterAutospacing="1" w:line="360" w:lineRule="atLeast"/>
                                                  <w:rPr>
                                                    <w:rFonts w:ascii="Arial" w:hAnsi="Arial" w:cs="Arial"/>
                                                    <w:color w:val="003871"/>
                                                  </w:rPr>
                                                </w:pPr>
                                                <w:r>
                                                  <w:rPr>
                                                    <w:rFonts w:ascii="Arial" w:hAnsi="Arial" w:cs="Arial"/>
                                                    <w:color w:val="003871"/>
                                                  </w:rPr>
                                                  <w:t>To the extent property cash flow exists after operating expenses during the forbearance period, borrowers should plan to make partial payments toward debt service. These payments will be held in escrow and applied toward future repayment of amounts due.</w:t>
                                                </w:r>
                                              </w:p>
                                              <w:p w14:paraId="49E1C5D2" w14:textId="77777777" w:rsidR="00F70DC8" w:rsidRDefault="00F70DC8" w:rsidP="00F70DC8">
                                                <w:pPr>
                                                  <w:numPr>
                                                    <w:ilvl w:val="0"/>
                                                    <w:numId w:val="2"/>
                                                  </w:numPr>
                                                  <w:spacing w:before="100" w:beforeAutospacing="1" w:after="100" w:afterAutospacing="1" w:line="360" w:lineRule="atLeast"/>
                                                  <w:rPr>
                                                    <w:rFonts w:ascii="Arial" w:hAnsi="Arial" w:cs="Arial"/>
                                                    <w:color w:val="003871"/>
                                                  </w:rPr>
                                                </w:pPr>
                                                <w:r>
                                                  <w:rPr>
                                                    <w:rFonts w:ascii="Arial" w:hAnsi="Arial" w:cs="Arial"/>
                                                    <w:color w:val="003871"/>
                                                  </w:rPr>
                                                  <w:t>The requirement of a “Hardship Letter” that details the inability to pay and includes a delinquency report or estimate of loss rents due to disaster. </w:t>
                                                </w:r>
                                              </w:p>
                                              <w:p w14:paraId="756EF136"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The programs do differ in terms of their details. Here are salient differences:</w:t>
                                                </w:r>
                                              </w:p>
                                              <w:p w14:paraId="3C28A259"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 </w:t>
                                                </w:r>
                                              </w:p>
                                              <w:p w14:paraId="7DE90260" w14:textId="77777777" w:rsidR="00F70DC8" w:rsidRDefault="00F70DC8" w:rsidP="00F70DC8">
                                                <w:pPr>
                                                  <w:pStyle w:val="NormalWeb"/>
                                                  <w:spacing w:before="0" w:beforeAutospacing="0" w:after="0" w:afterAutospacing="0" w:line="360" w:lineRule="atLeast"/>
                                                  <w:rPr>
                                                    <w:rFonts w:ascii="Arial" w:hAnsi="Arial" w:cs="Arial"/>
                                                    <w:color w:val="003871"/>
                                                  </w:rPr>
                                                </w:pPr>
                                                <w:r>
                                                  <w:rPr>
                                                    <w:rStyle w:val="Strong"/>
                                                    <w:rFonts w:ascii="Arial" w:hAnsi="Arial" w:cs="Arial"/>
                                                    <w:color w:val="003871"/>
                                                  </w:rPr>
                                                  <w:t>Program Period</w:t>
                                                </w:r>
                                              </w:p>
                                              <w:p w14:paraId="6F0D191B" w14:textId="77777777" w:rsidR="00F70DC8" w:rsidRDefault="00F70DC8" w:rsidP="00F70DC8">
                                                <w:pPr>
                                                  <w:numPr>
                                                    <w:ilvl w:val="0"/>
                                                    <w:numId w:val="3"/>
                                                  </w:numPr>
                                                  <w:spacing w:before="100" w:beforeAutospacing="1" w:after="100" w:afterAutospacing="1" w:line="360" w:lineRule="atLeast"/>
                                                  <w:rPr>
                                                    <w:rFonts w:ascii="Arial" w:hAnsi="Arial" w:cs="Arial"/>
                                                    <w:color w:val="003871"/>
                                                  </w:rPr>
                                                </w:pPr>
                                                <w:r>
                                                  <w:rPr>
                                                    <w:rStyle w:val="Strong"/>
                                                    <w:rFonts w:ascii="Arial" w:hAnsi="Arial" w:cs="Arial"/>
                                                    <w:color w:val="003871"/>
                                                  </w:rPr>
                                                  <w:t>Fannie Mae</w:t>
                                                </w:r>
                                                <w:r>
                                                  <w:rPr>
                                                    <w:rFonts w:ascii="Arial" w:hAnsi="Arial" w:cs="Arial"/>
                                                    <w:color w:val="003871"/>
                                                  </w:rPr>
                                                  <w:t>. The program can begin with the April 1, 2020 payment, provided missed payment did not occur prior to that date. It will be available for payments through August 31, 2020, subject to Fannie Mae termination at its sole discretion.</w:t>
                                                </w:r>
                                              </w:p>
                                              <w:p w14:paraId="648900F1" w14:textId="77777777" w:rsidR="00F70DC8" w:rsidRDefault="00F70DC8" w:rsidP="00F70DC8">
                                                <w:pPr>
                                                  <w:numPr>
                                                    <w:ilvl w:val="0"/>
                                                    <w:numId w:val="3"/>
                                                  </w:numPr>
                                                  <w:spacing w:before="100" w:beforeAutospacing="1" w:after="100" w:afterAutospacing="1" w:line="360" w:lineRule="atLeast"/>
                                                  <w:rPr>
                                                    <w:rFonts w:ascii="Arial" w:hAnsi="Arial" w:cs="Arial"/>
                                                    <w:color w:val="003871"/>
                                                  </w:rPr>
                                                </w:pPr>
                                                <w:r>
                                                  <w:rPr>
                                                    <w:rStyle w:val="Strong"/>
                                                    <w:rFonts w:ascii="Arial" w:hAnsi="Arial" w:cs="Arial"/>
                                                    <w:color w:val="003871"/>
                                                  </w:rPr>
                                                  <w:lastRenderedPageBreak/>
                                                  <w:t>Freddie Mac</w:t>
                                                </w:r>
                                                <w:r>
                                                  <w:rPr>
                                                    <w:rFonts w:ascii="Arial" w:hAnsi="Arial" w:cs="Arial"/>
                                                    <w:color w:val="003871"/>
                                                  </w:rPr>
                                                  <w:t>. The program can begin with the April 1, 2020 payment. The latest date to enter a forbearance agreement is July 1, 2020, with a monthly start date no later than August 1, 2020.</w:t>
                                                </w:r>
                                              </w:p>
                                              <w:p w14:paraId="76F5F92F" w14:textId="77777777" w:rsidR="00F70DC8" w:rsidRDefault="00F70DC8" w:rsidP="00F70DC8">
                                                <w:pPr>
                                                  <w:pStyle w:val="NormalWeb"/>
                                                  <w:spacing w:before="0" w:beforeAutospacing="0" w:after="0" w:afterAutospacing="0" w:line="360" w:lineRule="atLeast"/>
                                                  <w:rPr>
                                                    <w:rFonts w:ascii="Arial" w:hAnsi="Arial" w:cs="Arial"/>
                                                    <w:color w:val="003871"/>
                                                  </w:rPr>
                                                </w:pPr>
                                                <w:r>
                                                  <w:rPr>
                                                    <w:rStyle w:val="Strong"/>
                                                    <w:rFonts w:ascii="Arial" w:hAnsi="Arial" w:cs="Arial"/>
                                                    <w:color w:val="003871"/>
                                                  </w:rPr>
                                                  <w:t>Repayment Requirements</w:t>
                                                </w:r>
                                              </w:p>
                                              <w:p w14:paraId="556585E5" w14:textId="77777777" w:rsidR="00F70DC8" w:rsidRDefault="00F70DC8" w:rsidP="00F70DC8">
                                                <w:pPr>
                                                  <w:numPr>
                                                    <w:ilvl w:val="0"/>
                                                    <w:numId w:val="4"/>
                                                  </w:numPr>
                                                  <w:spacing w:before="100" w:beforeAutospacing="1" w:after="100" w:afterAutospacing="1" w:line="360" w:lineRule="atLeast"/>
                                                  <w:rPr>
                                                    <w:rFonts w:ascii="Arial" w:hAnsi="Arial" w:cs="Arial"/>
                                                    <w:color w:val="003871"/>
                                                  </w:rPr>
                                                </w:pPr>
                                                <w:r>
                                                  <w:rPr>
                                                    <w:rStyle w:val="Strong"/>
                                                    <w:rFonts w:ascii="Arial" w:hAnsi="Arial" w:cs="Arial"/>
                                                    <w:color w:val="003871"/>
                                                  </w:rPr>
                                                  <w:t>Fannie Mae</w:t>
                                                </w:r>
                                                <w:r>
                                                  <w:rPr>
                                                    <w:rFonts w:ascii="Arial" w:hAnsi="Arial" w:cs="Arial"/>
                                                    <w:color w:val="003871"/>
                                                  </w:rPr>
                                                  <w:t>. Repayment will be due over the 12-month period commencing with the monthly payment date immediately following the expiration of forbearance or the borrower’s receipt of business income insurance proceeds (or any other assistance or relief program proceeds).</w:t>
                                                </w:r>
                                              </w:p>
                                              <w:p w14:paraId="32CE8BEB" w14:textId="77777777" w:rsidR="00F70DC8" w:rsidRDefault="00F70DC8" w:rsidP="00F70DC8">
                                                <w:pPr>
                                                  <w:numPr>
                                                    <w:ilvl w:val="0"/>
                                                    <w:numId w:val="4"/>
                                                  </w:numPr>
                                                  <w:spacing w:before="100" w:beforeAutospacing="1" w:after="100" w:afterAutospacing="1" w:line="360" w:lineRule="atLeast"/>
                                                  <w:rPr>
                                                    <w:rFonts w:ascii="Arial" w:hAnsi="Arial" w:cs="Arial"/>
                                                    <w:color w:val="003871"/>
                                                  </w:rPr>
                                                </w:pPr>
                                                <w:r>
                                                  <w:rPr>
                                                    <w:rStyle w:val="Strong"/>
                                                    <w:rFonts w:ascii="Arial" w:hAnsi="Arial" w:cs="Arial"/>
                                                    <w:color w:val="003871"/>
                                                  </w:rPr>
                                                  <w:t>Freddie Mac</w:t>
                                                </w:r>
                                                <w:r>
                                                  <w:rPr>
                                                    <w:rFonts w:ascii="Arial" w:hAnsi="Arial" w:cs="Arial"/>
                                                    <w:color w:val="003871"/>
                                                  </w:rPr>
                                                  <w:t>. Repayment will be due over the 12-month period commencing with the monthly payment date immediately following the expiration of forbearance. It can include all amounts due (principal, interest, escrows, etc.).</w:t>
                                                </w:r>
                                              </w:p>
                                              <w:p w14:paraId="38DA7529"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You can find additional information about the Fannie Mae and Freddie Mac forbearance programs here.</w:t>
                                                </w:r>
                                              </w:p>
                                            </w:tc>
                                          </w:tr>
                                        </w:tbl>
                                        <w:p w14:paraId="7AE652BD" w14:textId="77777777" w:rsidR="00F70DC8" w:rsidRDefault="00F70DC8" w:rsidP="00F70DC8">
                                          <w:pPr>
                                            <w:spacing w:line="338" w:lineRule="atLeast"/>
                                            <w:rPr>
                                              <w:rFonts w:ascii="Arial" w:hAnsi="Arial" w:cs="Arial"/>
                                              <w:color w:val="444444"/>
                                              <w:sz w:val="23"/>
                                              <w:szCs w:val="23"/>
                                            </w:rPr>
                                          </w:pPr>
                                        </w:p>
                                      </w:tc>
                                    </w:tr>
                                  </w:tbl>
                                  <w:p w14:paraId="53BA10A6" w14:textId="77777777" w:rsidR="00F70DC8" w:rsidRDefault="00F70DC8" w:rsidP="00F70DC8">
                                    <w:pPr>
                                      <w:spacing w:line="360" w:lineRule="atLeast"/>
                                      <w:rPr>
                                        <w:rFonts w:ascii="Arial" w:hAnsi="Arial" w:cs="Arial"/>
                                        <w:color w:val="444444"/>
                                        <w:sz w:val="23"/>
                                        <w:szCs w:val="23"/>
                                      </w:rPr>
                                    </w:pPr>
                                  </w:p>
                                </w:tc>
                              </w:tr>
                            </w:tbl>
                            <w:p w14:paraId="206B4F86" w14:textId="77777777" w:rsidR="00F70DC8" w:rsidRDefault="00F70DC8" w:rsidP="00F70DC8">
                              <w:pPr>
                                <w:spacing w:line="338" w:lineRule="atLeast"/>
                                <w:rPr>
                                  <w:rFonts w:ascii="Arial" w:hAnsi="Arial" w:cs="Arial"/>
                                  <w:color w:val="444444"/>
                                  <w:sz w:val="23"/>
                                  <w:szCs w:val="23"/>
                                </w:rPr>
                              </w:pPr>
                            </w:p>
                          </w:tc>
                        </w:tr>
                      </w:tbl>
                      <w:p w14:paraId="74E020F0" w14:textId="77777777" w:rsidR="00F70DC8" w:rsidRDefault="00F70DC8" w:rsidP="00F70DC8">
                        <w:pPr>
                          <w:spacing w:line="360" w:lineRule="atLeast"/>
                          <w:rPr>
                            <w:rFonts w:ascii="Arial" w:hAnsi="Arial" w:cs="Arial"/>
                            <w:color w:val="444444"/>
                            <w:sz w:val="23"/>
                            <w:szCs w:val="23"/>
                          </w:rPr>
                        </w:pPr>
                      </w:p>
                    </w:tc>
                  </w:tr>
                  <w:tr w:rsidR="00F70DC8" w14:paraId="0A41CE9B" w14:textId="77777777" w:rsidTr="00F70DC8">
                    <w:tblPrEx>
                      <w:shd w:val="clear" w:color="auto" w:fill="auto"/>
                    </w:tblPrEx>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36"/>
                        </w:tblGrid>
                        <w:tr w:rsidR="00F70DC8" w14:paraId="5210482E" w14:textId="77777777" w:rsidTr="00F70DC8">
                          <w:tc>
                            <w:tcPr>
                              <w:tcW w:w="6" w:type="dxa"/>
                              <w:vAlign w:val="center"/>
                              <w:hideMark/>
                            </w:tcPr>
                            <w:tbl>
                              <w:tblPr>
                                <w:tblW w:w="0" w:type="auto"/>
                                <w:jc w:val="center"/>
                                <w:tblCellMar>
                                  <w:left w:w="0" w:type="dxa"/>
                                  <w:right w:w="0" w:type="dxa"/>
                                </w:tblCellMar>
                                <w:tblLook w:val="04A0" w:firstRow="1" w:lastRow="0" w:firstColumn="1" w:lastColumn="0" w:noHBand="0" w:noVBand="1"/>
                              </w:tblPr>
                              <w:tblGrid>
                                <w:gridCol w:w="4472"/>
                              </w:tblGrid>
                              <w:tr w:rsidR="00F70DC8" w14:paraId="1BE18380" w14:textId="77777777">
                                <w:trPr>
                                  <w:jc w:val="center"/>
                                </w:trPr>
                                <w:tc>
                                  <w:tcPr>
                                    <w:tcW w:w="0" w:type="auto"/>
                                    <w:vAlign w:val="center"/>
                                    <w:hideMark/>
                                  </w:tcPr>
                                  <w:tbl>
                                    <w:tblPr>
                                      <w:tblW w:w="0" w:type="auto"/>
                                      <w:jc w:val="center"/>
                                      <w:shd w:val="clear" w:color="auto" w:fill="003871"/>
                                      <w:tblCellMar>
                                        <w:top w:w="15" w:type="dxa"/>
                                        <w:left w:w="15" w:type="dxa"/>
                                        <w:bottom w:w="15" w:type="dxa"/>
                                        <w:right w:w="15" w:type="dxa"/>
                                      </w:tblCellMar>
                                      <w:tblLook w:val="04A0" w:firstRow="1" w:lastRow="0" w:firstColumn="1" w:lastColumn="0" w:noHBand="0" w:noVBand="1"/>
                                    </w:tblPr>
                                    <w:tblGrid>
                                      <w:gridCol w:w="4472"/>
                                    </w:tblGrid>
                                    <w:tr w:rsidR="00F70DC8" w14:paraId="6203AE91" w14:textId="77777777">
                                      <w:trPr>
                                        <w:jc w:val="center"/>
                                      </w:trPr>
                                      <w:tc>
                                        <w:tcPr>
                                          <w:tcW w:w="0" w:type="auto"/>
                                          <w:shd w:val="clear" w:color="auto" w:fill="003871"/>
                                          <w:tcMar>
                                            <w:top w:w="0" w:type="dxa"/>
                                            <w:left w:w="0" w:type="dxa"/>
                                            <w:bottom w:w="0" w:type="dxa"/>
                                            <w:right w:w="0" w:type="dxa"/>
                                          </w:tcMar>
                                          <w:vAlign w:val="center"/>
                                          <w:hideMark/>
                                        </w:tcPr>
                                        <w:p w14:paraId="5B4E32E7" w14:textId="77777777" w:rsidR="00F70DC8" w:rsidRDefault="00F70DC8" w:rsidP="00F70DC8">
                                          <w:pPr>
                                            <w:jc w:val="center"/>
                                            <w:rPr>
                                              <w:rFonts w:ascii="Georgia" w:hAnsi="Georgia" w:cs="Times New Roman"/>
                                              <w:color w:val="003871"/>
                                            </w:rPr>
                                          </w:pPr>
                                          <w:hyperlink r:id="rId5" w:tgtFrame="_blank" w:tooltip="This external link will open in a new window" w:history="1">
                                            <w:r>
                                              <w:rPr>
                                                <w:rStyle w:val="Hyperlink"/>
                                                <w:rFonts w:ascii="Helvetica" w:hAnsi="Helvetica"/>
                                                <w:b/>
                                                <w:bCs/>
                                                <w:color w:val="FFFFFF"/>
                                                <w:sz w:val="27"/>
                                                <w:szCs w:val="27"/>
                                              </w:rPr>
                                              <w:t>Fannie Mae Forbearance Guidance</w:t>
                                            </w:r>
                                          </w:hyperlink>
                                        </w:p>
                                      </w:tc>
                                    </w:tr>
                                  </w:tbl>
                                  <w:p w14:paraId="424CEB09" w14:textId="77777777" w:rsidR="00F70DC8" w:rsidRDefault="00F70DC8" w:rsidP="00F70DC8">
                                    <w:pPr>
                                      <w:jc w:val="center"/>
                                      <w:rPr>
                                        <w:rFonts w:ascii="Georgia" w:hAnsi="Georgia"/>
                                        <w:color w:val="003871"/>
                                      </w:rPr>
                                    </w:pPr>
                                  </w:p>
                                </w:tc>
                              </w:tr>
                            </w:tbl>
                            <w:p w14:paraId="357E8710" w14:textId="77777777" w:rsidR="00F70DC8" w:rsidRDefault="00F70DC8" w:rsidP="00F70DC8">
                              <w:pPr>
                                <w:jc w:val="center"/>
                                <w:rPr>
                                  <w:rFonts w:ascii="Georgia" w:hAnsi="Georgia"/>
                                  <w:color w:val="003871"/>
                                </w:rPr>
                              </w:pPr>
                            </w:p>
                          </w:tc>
                        </w:tr>
                      </w:tbl>
                      <w:p w14:paraId="55ADDE9B" w14:textId="77777777" w:rsidR="00F70DC8" w:rsidRDefault="00F70DC8" w:rsidP="00F70DC8">
                        <w:pPr>
                          <w:rPr>
                            <w:rFonts w:ascii="Arial" w:hAnsi="Arial" w:cs="Arial"/>
                            <w:color w:val="003871"/>
                          </w:rPr>
                        </w:pPr>
                      </w:p>
                    </w:tc>
                  </w:tr>
                </w:tbl>
                <w:p w14:paraId="199FD22C" w14:textId="77777777" w:rsidR="00F70DC8" w:rsidRDefault="00F70DC8" w:rsidP="00F70DC8">
                  <w:pPr>
                    <w:rPr>
                      <w:vanish/>
                    </w:rPr>
                  </w:pPr>
                </w:p>
                <w:tbl>
                  <w:tblPr>
                    <w:tblW w:w="5000" w:type="pct"/>
                    <w:tblCellMar>
                      <w:left w:w="0" w:type="dxa"/>
                      <w:right w:w="0" w:type="dxa"/>
                    </w:tblCellMar>
                    <w:tblLook w:val="04A0" w:firstRow="1" w:lastRow="0" w:firstColumn="1" w:lastColumn="0" w:noHBand="0" w:noVBand="1"/>
                  </w:tblPr>
                  <w:tblGrid>
                    <w:gridCol w:w="9344"/>
                  </w:tblGrid>
                  <w:tr w:rsidR="00F70DC8" w14:paraId="0D029F85" w14:textId="77777777" w:rsidTr="00F70DC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44"/>
                        </w:tblGrid>
                        <w:tr w:rsidR="00F70DC8" w14:paraId="2E807468" w14:textId="77777777" w:rsidTr="00F70DC8">
                          <w:tc>
                            <w:tcPr>
                              <w:tcW w:w="6" w:type="dxa"/>
                              <w:vAlign w:val="center"/>
                              <w:hideMark/>
                            </w:tcPr>
                            <w:tbl>
                              <w:tblPr>
                                <w:tblW w:w="0" w:type="auto"/>
                                <w:jc w:val="center"/>
                                <w:tblCellMar>
                                  <w:left w:w="0" w:type="dxa"/>
                                  <w:right w:w="0" w:type="dxa"/>
                                </w:tblCellMar>
                                <w:tblLook w:val="04A0" w:firstRow="1" w:lastRow="0" w:firstColumn="1" w:lastColumn="0" w:noHBand="0" w:noVBand="1"/>
                              </w:tblPr>
                              <w:tblGrid>
                                <w:gridCol w:w="4577"/>
                              </w:tblGrid>
                              <w:tr w:rsidR="00F70DC8" w14:paraId="01CA8BA6" w14:textId="77777777">
                                <w:trPr>
                                  <w:jc w:val="center"/>
                                </w:trPr>
                                <w:tc>
                                  <w:tcPr>
                                    <w:tcW w:w="0" w:type="auto"/>
                                    <w:vAlign w:val="center"/>
                                    <w:hideMark/>
                                  </w:tcPr>
                                  <w:tbl>
                                    <w:tblPr>
                                      <w:tblW w:w="0" w:type="auto"/>
                                      <w:jc w:val="center"/>
                                      <w:shd w:val="clear" w:color="auto" w:fill="003871"/>
                                      <w:tblCellMar>
                                        <w:top w:w="15" w:type="dxa"/>
                                        <w:left w:w="15" w:type="dxa"/>
                                        <w:bottom w:w="15" w:type="dxa"/>
                                        <w:right w:w="15" w:type="dxa"/>
                                      </w:tblCellMar>
                                      <w:tblLook w:val="04A0" w:firstRow="1" w:lastRow="0" w:firstColumn="1" w:lastColumn="0" w:noHBand="0" w:noVBand="1"/>
                                    </w:tblPr>
                                    <w:tblGrid>
                                      <w:gridCol w:w="4577"/>
                                    </w:tblGrid>
                                    <w:tr w:rsidR="00F70DC8" w14:paraId="1C9715B3" w14:textId="77777777">
                                      <w:trPr>
                                        <w:jc w:val="center"/>
                                      </w:trPr>
                                      <w:tc>
                                        <w:tcPr>
                                          <w:tcW w:w="0" w:type="auto"/>
                                          <w:shd w:val="clear" w:color="auto" w:fill="003871"/>
                                          <w:tcMar>
                                            <w:top w:w="0" w:type="dxa"/>
                                            <w:left w:w="0" w:type="dxa"/>
                                            <w:bottom w:w="0" w:type="dxa"/>
                                            <w:right w:w="0" w:type="dxa"/>
                                          </w:tcMar>
                                          <w:vAlign w:val="center"/>
                                          <w:hideMark/>
                                        </w:tcPr>
                                        <w:p w14:paraId="234EAEDD" w14:textId="77777777" w:rsidR="00F70DC8" w:rsidRDefault="00F70DC8" w:rsidP="00F70DC8">
                                          <w:pPr>
                                            <w:jc w:val="center"/>
                                            <w:rPr>
                                              <w:rFonts w:ascii="Georgia" w:hAnsi="Georgia"/>
                                              <w:color w:val="003871"/>
                                            </w:rPr>
                                          </w:pPr>
                                          <w:hyperlink r:id="rId6" w:tgtFrame="_blank" w:tooltip="This external link will open in a new window" w:history="1">
                                            <w:r>
                                              <w:rPr>
                                                <w:rStyle w:val="Hyperlink"/>
                                                <w:rFonts w:ascii="Helvetica" w:hAnsi="Helvetica"/>
                                                <w:b/>
                                                <w:bCs/>
                                                <w:color w:val="FFFFFF"/>
                                                <w:sz w:val="27"/>
                                                <w:szCs w:val="27"/>
                                              </w:rPr>
                                              <w:t>Freddie Mac Forbearance Guidance</w:t>
                                            </w:r>
                                          </w:hyperlink>
                                        </w:p>
                                      </w:tc>
                                    </w:tr>
                                  </w:tbl>
                                  <w:p w14:paraId="6B283D74" w14:textId="77777777" w:rsidR="00F70DC8" w:rsidRDefault="00F70DC8" w:rsidP="00F70DC8">
                                    <w:pPr>
                                      <w:jc w:val="center"/>
                                      <w:rPr>
                                        <w:rFonts w:ascii="Georgia" w:hAnsi="Georgia"/>
                                        <w:color w:val="003871"/>
                                      </w:rPr>
                                    </w:pPr>
                                  </w:p>
                                </w:tc>
                              </w:tr>
                            </w:tbl>
                            <w:p w14:paraId="525C0033" w14:textId="77777777" w:rsidR="00F70DC8" w:rsidRDefault="00F70DC8" w:rsidP="00F70DC8">
                              <w:pPr>
                                <w:jc w:val="center"/>
                                <w:rPr>
                                  <w:rFonts w:ascii="Georgia" w:hAnsi="Georgia"/>
                                  <w:color w:val="003871"/>
                                </w:rPr>
                              </w:pPr>
                            </w:p>
                          </w:tc>
                        </w:tr>
                      </w:tbl>
                      <w:p w14:paraId="10FE7607" w14:textId="77777777" w:rsidR="00F70DC8" w:rsidRDefault="00F70DC8" w:rsidP="00F70DC8">
                        <w:pPr>
                          <w:rPr>
                            <w:rFonts w:ascii="Arial" w:hAnsi="Arial" w:cs="Arial"/>
                            <w:color w:val="003871"/>
                          </w:rPr>
                        </w:pPr>
                      </w:p>
                    </w:tc>
                  </w:tr>
                </w:tbl>
                <w:p w14:paraId="38AE74E7" w14:textId="77777777" w:rsidR="00F70DC8" w:rsidRDefault="00F70DC8" w:rsidP="00F70DC8">
                  <w:pPr>
                    <w:rPr>
                      <w:rFonts w:ascii="Arial" w:hAnsi="Arial" w:cs="Arial"/>
                      <w:vanish/>
                    </w:rPr>
                  </w:pPr>
                </w:p>
                <w:tbl>
                  <w:tblPr>
                    <w:tblW w:w="5000" w:type="pct"/>
                    <w:shd w:val="clear" w:color="auto" w:fill="FFFFFF"/>
                    <w:tblCellMar>
                      <w:left w:w="0" w:type="dxa"/>
                      <w:right w:w="0" w:type="dxa"/>
                    </w:tblCellMar>
                    <w:tblLook w:val="04A0" w:firstRow="1" w:lastRow="0" w:firstColumn="1" w:lastColumn="0" w:noHBand="0" w:noVBand="1"/>
                  </w:tblPr>
                  <w:tblGrid>
                    <w:gridCol w:w="9336"/>
                  </w:tblGrid>
                  <w:tr w:rsidR="00F70DC8" w14:paraId="20131060" w14:textId="77777777" w:rsidTr="00F70DC8">
                    <w:tc>
                      <w:tcPr>
                        <w:tcW w:w="5000" w:type="pct"/>
                        <w:tcBorders>
                          <w:left w:val="single" w:sz="6" w:space="0" w:color="CCCCCC"/>
                        </w:tcBorders>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328"/>
                        </w:tblGrid>
                        <w:tr w:rsidR="00F70DC8" w14:paraId="077F136C"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20"/>
                              </w:tblGrid>
                              <w:tr w:rsidR="00F70DC8" w14:paraId="4E5B6EA0" w14:textId="77777777">
                                <w:tc>
                                  <w:tcPr>
                                    <w:tcW w:w="2500" w:type="pct"/>
                                    <w:tcBorders>
                                      <w:left w:val="single" w:sz="6" w:space="0" w:color="CCCCCC"/>
                                    </w:tcBorders>
                                    <w:hideMark/>
                                  </w:tcPr>
                                  <w:tbl>
                                    <w:tblPr>
                                      <w:tblW w:w="5000" w:type="pct"/>
                                      <w:tblCellMar>
                                        <w:top w:w="300" w:type="dxa"/>
                                        <w:left w:w="300" w:type="dxa"/>
                                        <w:bottom w:w="300" w:type="dxa"/>
                                        <w:right w:w="300" w:type="dxa"/>
                                      </w:tblCellMar>
                                      <w:tblLook w:val="04A0" w:firstRow="1" w:lastRow="0" w:firstColumn="1" w:lastColumn="0" w:noHBand="0" w:noVBand="1"/>
                                    </w:tblPr>
                                    <w:tblGrid>
                                      <w:gridCol w:w="9312"/>
                                    </w:tblGrid>
                                    <w:tr w:rsidR="00F70DC8" w14:paraId="66A43147"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04"/>
                                          </w:tblGrid>
                                          <w:tr w:rsidR="00F70DC8" w14:paraId="293725C4" w14:textId="77777777">
                                            <w:tc>
                                              <w:tcPr>
                                                <w:tcW w:w="5000" w:type="pct"/>
                                                <w:tcBorders>
                                                  <w:left w:val="single" w:sz="6" w:space="0" w:color="CCCCCC"/>
                                                </w:tcBorders>
                                                <w:hideMark/>
                                              </w:tcPr>
                                              <w:p w14:paraId="17C7959E"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We understand that</w:t>
                                                </w:r>
                                                <w:r>
                                                  <w:rPr>
                                                    <w:rStyle w:val="apple-converted-space"/>
                                                    <w:rFonts w:ascii="Arial" w:hAnsi="Arial" w:cs="Arial"/>
                                                    <w:color w:val="003871"/>
                                                  </w:rPr>
                                                  <w:t> </w:t>
                                                </w:r>
                                                <w:r>
                                                  <w:rPr>
                                                    <w:rStyle w:val="Strong"/>
                                                    <w:rFonts w:ascii="Arial" w:hAnsi="Arial" w:cs="Arial"/>
                                                    <w:color w:val="003871"/>
                                                  </w:rPr>
                                                  <w:t>HUD</w:t>
                                                </w:r>
                                                <w:r>
                                                  <w:rPr>
                                                    <w:rStyle w:val="apple-converted-space"/>
                                                    <w:rFonts w:ascii="Arial" w:hAnsi="Arial" w:cs="Arial"/>
                                                    <w:color w:val="003871"/>
                                                  </w:rPr>
                                                  <w:t> </w:t>
                                                </w:r>
                                                <w:r>
                                                  <w:rPr>
                                                    <w:rFonts w:ascii="Arial" w:hAnsi="Arial" w:cs="Arial"/>
                                                    <w:color w:val="003871"/>
                                                  </w:rPr>
                                                  <w:t>will also allow forbearance on</w:t>
                                                </w:r>
                                                <w:r>
                                                  <w:rPr>
                                                    <w:rStyle w:val="apple-converted-space"/>
                                                    <w:rFonts w:ascii="Arial" w:hAnsi="Arial" w:cs="Arial"/>
                                                    <w:color w:val="003871"/>
                                                  </w:rPr>
                                                  <w:t> </w:t>
                                                </w:r>
                                                <w:r>
                                                  <w:rPr>
                                                    <w:rStyle w:val="Strong"/>
                                                    <w:rFonts w:ascii="Arial" w:hAnsi="Arial" w:cs="Arial"/>
                                                    <w:color w:val="003871"/>
                                                  </w:rPr>
                                                  <w:t>FHA</w:t>
                                                </w:r>
                                                <w:r>
                                                  <w:rPr>
                                                    <w:rStyle w:val="apple-converted-space"/>
                                                    <w:rFonts w:ascii="Arial" w:hAnsi="Arial" w:cs="Arial"/>
                                                    <w:color w:val="003871"/>
                                                  </w:rPr>
                                                  <w:t> </w:t>
                                                </w:r>
                                                <w:r>
                                                  <w:rPr>
                                                    <w:rFonts w:ascii="Arial" w:hAnsi="Arial" w:cs="Arial"/>
                                                    <w:color w:val="003871"/>
                                                  </w:rPr>
                                                  <w:t>loans for multifamily properties, and we expect some similarities with the terms being offered by Fannie Mae and Freddie Mac. We will fill you in once details become available. </w:t>
                                                </w:r>
                                              </w:p>
                                              <w:p w14:paraId="5EC37DC0"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 </w:t>
                                                </w:r>
                                              </w:p>
                                              <w:p w14:paraId="0CBC272A" w14:textId="77777777" w:rsidR="00F70DC8" w:rsidRDefault="00F70DC8" w:rsidP="00F70DC8">
                                                <w:pPr>
                                                  <w:pStyle w:val="NormalWeb"/>
                                                  <w:spacing w:before="0" w:beforeAutospacing="0" w:after="0" w:afterAutospacing="0" w:line="360" w:lineRule="atLeast"/>
                                                  <w:rPr>
                                                    <w:rFonts w:ascii="Arial" w:hAnsi="Arial" w:cs="Arial"/>
                                                    <w:color w:val="003871"/>
                                                  </w:rPr>
                                                </w:pPr>
                                                <w:r>
                                                  <w:rPr>
                                                    <w:rFonts w:ascii="Arial" w:hAnsi="Arial" w:cs="Arial"/>
                                                    <w:color w:val="003871"/>
                                                  </w:rPr>
                                                  <w:t>I will be happy to answer any questions you might have and do what I can to make the process of entering into your forbearance agreements as seamless as possible. Please don’t hesitate to reach out.</w:t>
                                                </w:r>
                                              </w:p>
                                            </w:tc>
                                          </w:tr>
                                        </w:tbl>
                                        <w:p w14:paraId="43B089D3" w14:textId="77777777" w:rsidR="00F70DC8" w:rsidRDefault="00F70DC8" w:rsidP="00F70DC8">
                                          <w:pPr>
                                            <w:spacing w:line="338" w:lineRule="atLeast"/>
                                            <w:rPr>
                                              <w:rFonts w:ascii="Arial" w:hAnsi="Arial" w:cs="Arial"/>
                                              <w:color w:val="444444"/>
                                              <w:sz w:val="23"/>
                                              <w:szCs w:val="23"/>
                                            </w:rPr>
                                          </w:pPr>
                                        </w:p>
                                      </w:tc>
                                    </w:tr>
                                  </w:tbl>
                                  <w:p w14:paraId="44035187" w14:textId="77777777" w:rsidR="00F70DC8" w:rsidRDefault="00F70DC8" w:rsidP="00F70DC8">
                                    <w:pPr>
                                      <w:spacing w:line="360" w:lineRule="atLeast"/>
                                      <w:rPr>
                                        <w:rFonts w:ascii="Arial" w:hAnsi="Arial" w:cs="Arial"/>
                                        <w:color w:val="444444"/>
                                        <w:sz w:val="23"/>
                                        <w:szCs w:val="23"/>
                                      </w:rPr>
                                    </w:pPr>
                                  </w:p>
                                </w:tc>
                              </w:tr>
                            </w:tbl>
                            <w:p w14:paraId="24AFCE03" w14:textId="77777777" w:rsidR="00F70DC8" w:rsidRDefault="00F70DC8" w:rsidP="00F70DC8">
                              <w:pPr>
                                <w:spacing w:line="338" w:lineRule="atLeast"/>
                                <w:rPr>
                                  <w:rFonts w:ascii="Arial" w:hAnsi="Arial" w:cs="Arial"/>
                                  <w:color w:val="444444"/>
                                  <w:sz w:val="23"/>
                                  <w:szCs w:val="23"/>
                                </w:rPr>
                              </w:pPr>
                            </w:p>
                          </w:tc>
                        </w:tr>
                      </w:tbl>
                      <w:p w14:paraId="3118D0E8" w14:textId="77777777" w:rsidR="00F70DC8" w:rsidRDefault="00F70DC8" w:rsidP="00F70DC8">
                        <w:pPr>
                          <w:spacing w:line="360" w:lineRule="atLeast"/>
                          <w:rPr>
                            <w:rFonts w:ascii="Arial" w:hAnsi="Arial" w:cs="Arial"/>
                            <w:color w:val="444444"/>
                            <w:sz w:val="23"/>
                            <w:szCs w:val="23"/>
                          </w:rPr>
                        </w:pPr>
                      </w:p>
                    </w:tc>
                  </w:tr>
                </w:tbl>
                <w:p w14:paraId="164D460F" w14:textId="77777777" w:rsidR="00F70DC8" w:rsidRDefault="00F70DC8" w:rsidP="00F833DC">
                  <w:pPr>
                    <w:spacing w:line="360" w:lineRule="atLeast"/>
                    <w:rPr>
                      <w:rFonts w:ascii="Arial" w:eastAsia="Times New Roman" w:hAnsi="Arial" w:cs="Arial"/>
                      <w:color w:val="003871"/>
                    </w:rPr>
                  </w:pPr>
                </w:p>
                <w:p w14:paraId="742B9001" w14:textId="77777777" w:rsidR="00F70DC8" w:rsidRDefault="00F70DC8" w:rsidP="00F833DC">
                  <w:pPr>
                    <w:spacing w:line="360" w:lineRule="atLeast"/>
                    <w:rPr>
                      <w:rFonts w:ascii="Arial" w:eastAsia="Times New Roman" w:hAnsi="Arial" w:cs="Arial"/>
                      <w:color w:val="003871"/>
                    </w:rPr>
                  </w:pPr>
                </w:p>
                <w:p w14:paraId="15B2FD81" w14:textId="2D8576CE" w:rsidR="00F70DC8" w:rsidRPr="00FE73D6" w:rsidRDefault="00F70DC8" w:rsidP="00F833DC">
                  <w:pPr>
                    <w:spacing w:line="360" w:lineRule="atLeast"/>
                    <w:rPr>
                      <w:rFonts w:ascii="Arial" w:eastAsia="Times New Roman" w:hAnsi="Arial" w:cs="Arial"/>
                      <w:color w:val="003871"/>
                    </w:rPr>
                  </w:pPr>
                  <w:r w:rsidRPr="00FE73D6">
                    <w:rPr>
                      <w:rFonts w:ascii="Arial" w:eastAsia="Times New Roman" w:hAnsi="Arial" w:cs="Arial"/>
                      <w:color w:val="003871"/>
                    </w:rPr>
                    <w:t>Here are a few sources that we found useful:</w:t>
                  </w:r>
                </w:p>
                <w:p w14:paraId="0EB40DF7" w14:textId="77777777" w:rsidR="00F70DC8" w:rsidRPr="00FE73D6" w:rsidRDefault="00F70DC8" w:rsidP="00F833DC">
                  <w:pPr>
                    <w:numPr>
                      <w:ilvl w:val="0"/>
                      <w:numId w:val="1"/>
                    </w:numPr>
                    <w:spacing w:before="100" w:beforeAutospacing="1" w:after="100" w:afterAutospacing="1" w:line="360" w:lineRule="atLeast"/>
                    <w:rPr>
                      <w:rFonts w:ascii="Arial" w:eastAsia="Times New Roman" w:hAnsi="Arial" w:cs="Arial"/>
                      <w:color w:val="003871"/>
                    </w:rPr>
                  </w:pPr>
                  <w:hyperlink r:id="rId7" w:tgtFrame="_blank" w:tooltip="This external link will open in a new window" w:history="1">
                    <w:r w:rsidRPr="00FE73D6">
                      <w:rPr>
                        <w:rFonts w:ascii="Arial" w:eastAsia="Times New Roman" w:hAnsi="Arial" w:cs="Arial"/>
                        <w:b/>
                        <w:bCs/>
                        <w:color w:val="3574E3"/>
                      </w:rPr>
                      <w:t>FHFA Moves to Provide Eviction Suspension Relief/Mortgage Forbearance in Multifamily Properties</w:t>
                    </w:r>
                  </w:hyperlink>
                  <w:r w:rsidRPr="00FE73D6">
                    <w:rPr>
                      <w:rFonts w:ascii="Arial" w:eastAsia="Times New Roman" w:hAnsi="Arial" w:cs="Arial"/>
                      <w:b/>
                      <w:bCs/>
                      <w:color w:val="3574E3"/>
                    </w:rPr>
                    <w:t>.</w:t>
                  </w:r>
                  <w:r w:rsidRPr="00FE73D6">
                    <w:rPr>
                      <w:rFonts w:ascii="Arial" w:eastAsia="Times New Roman" w:hAnsi="Arial" w:cs="Arial"/>
                      <w:color w:val="003871"/>
                    </w:rPr>
                    <w:t> If you have a property that you believe qualifies for relief per the FHFA announcement, contact your relationship manager and servicing representative for further guidance.</w:t>
                  </w:r>
                </w:p>
                <w:p w14:paraId="2C8876E0" w14:textId="77777777" w:rsidR="00F70DC8" w:rsidRPr="00FE73D6" w:rsidRDefault="00F70DC8" w:rsidP="00F833DC">
                  <w:pPr>
                    <w:numPr>
                      <w:ilvl w:val="0"/>
                      <w:numId w:val="1"/>
                    </w:numPr>
                    <w:spacing w:before="100" w:beforeAutospacing="1" w:after="100" w:afterAutospacing="1" w:line="360" w:lineRule="atLeast"/>
                    <w:rPr>
                      <w:rFonts w:ascii="Arial" w:eastAsia="Times New Roman" w:hAnsi="Arial" w:cs="Arial"/>
                      <w:color w:val="003871"/>
                    </w:rPr>
                  </w:pPr>
                  <w:hyperlink r:id="rId8" w:tgtFrame="_blank" w:tooltip="This external link will open in a new window" w:history="1">
                    <w:r w:rsidRPr="00FE73D6">
                      <w:rPr>
                        <w:rFonts w:ascii="Arial" w:eastAsia="Times New Roman" w:hAnsi="Arial" w:cs="Arial"/>
                        <w:b/>
                        <w:bCs/>
                        <w:color w:val="3574E3"/>
                      </w:rPr>
                      <w:t>Mortgage Bankers Association Commercial/Multifamily-Specific Coronavirus Resources</w:t>
                    </w:r>
                  </w:hyperlink>
                  <w:r w:rsidRPr="00FE73D6">
                    <w:rPr>
                      <w:rFonts w:ascii="Arial" w:eastAsia="Times New Roman" w:hAnsi="Arial" w:cs="Arial"/>
                      <w:color w:val="3574E3"/>
                    </w:rPr>
                    <w:t>.</w:t>
                  </w:r>
                  <w:r w:rsidRPr="00FE73D6">
                    <w:rPr>
                      <w:rFonts w:ascii="Arial" w:eastAsia="Times New Roman" w:hAnsi="Arial" w:cs="Arial"/>
                      <w:color w:val="003871"/>
                    </w:rPr>
                    <w:t xml:space="preserve"> Upcoming MBA webinars and topline multifamily and </w:t>
                  </w:r>
                  <w:r w:rsidRPr="00FE73D6">
                    <w:rPr>
                      <w:rFonts w:ascii="Arial" w:eastAsia="Times New Roman" w:hAnsi="Arial" w:cs="Arial"/>
                      <w:color w:val="003871"/>
                    </w:rPr>
                    <w:lastRenderedPageBreak/>
                    <w:t>healthcare insight, including “Contingency Plans for Closing Multifamily Loans and Similar Commercial Loans during the COVID-19 Pandemic.”</w:t>
                  </w:r>
                </w:p>
                <w:p w14:paraId="0A45476B" w14:textId="77777777" w:rsidR="00F70DC8" w:rsidRPr="00FE73D6" w:rsidRDefault="00F70DC8" w:rsidP="00F833DC">
                  <w:pPr>
                    <w:numPr>
                      <w:ilvl w:val="0"/>
                      <w:numId w:val="1"/>
                    </w:numPr>
                    <w:spacing w:before="100" w:beforeAutospacing="1" w:after="100" w:afterAutospacing="1" w:line="360" w:lineRule="atLeast"/>
                    <w:rPr>
                      <w:rFonts w:ascii="Arial" w:eastAsia="Times New Roman" w:hAnsi="Arial" w:cs="Arial"/>
                      <w:color w:val="003871"/>
                    </w:rPr>
                  </w:pPr>
                  <w:hyperlink r:id="rId9" w:tgtFrame="_blank" w:tooltip="This external link will open in a new window" w:history="1">
                    <w:r w:rsidRPr="00FE73D6">
                      <w:rPr>
                        <w:rFonts w:ascii="Arial" w:eastAsia="Times New Roman" w:hAnsi="Arial" w:cs="Arial"/>
                        <w:b/>
                        <w:bCs/>
                        <w:color w:val="3574E3"/>
                      </w:rPr>
                      <w:t>NMHC Coronavirus Resources for Apartment Firms</w:t>
                    </w:r>
                  </w:hyperlink>
                  <w:r w:rsidRPr="00FE73D6">
                    <w:rPr>
                      <w:rFonts w:ascii="Arial" w:eastAsia="Times New Roman" w:hAnsi="Arial" w:cs="Arial"/>
                      <w:color w:val="003871"/>
                    </w:rPr>
                    <w:t>. NMHC resources from legal issues and worker protection to handling packages and recommended cleaning protocols and disinfectants.</w:t>
                  </w:r>
                </w:p>
                <w:p w14:paraId="1ED197C2" w14:textId="77777777" w:rsidR="00F70DC8" w:rsidRPr="00FE73D6" w:rsidRDefault="00F70DC8" w:rsidP="00F833DC">
                  <w:pPr>
                    <w:numPr>
                      <w:ilvl w:val="0"/>
                      <w:numId w:val="1"/>
                    </w:numPr>
                    <w:spacing w:before="100" w:beforeAutospacing="1" w:after="100" w:afterAutospacing="1" w:line="360" w:lineRule="atLeast"/>
                    <w:rPr>
                      <w:rFonts w:ascii="Arial" w:eastAsia="Times New Roman" w:hAnsi="Arial" w:cs="Arial"/>
                      <w:color w:val="003871"/>
                    </w:rPr>
                  </w:pPr>
                  <w:hyperlink r:id="rId10" w:tgtFrame="_blank" w:tooltip="This external link will open in a new window" w:history="1">
                    <w:r w:rsidRPr="00FE73D6">
                      <w:rPr>
                        <w:rFonts w:ascii="Arial" w:eastAsia="Times New Roman" w:hAnsi="Arial" w:cs="Arial"/>
                        <w:b/>
                        <w:bCs/>
                        <w:color w:val="3574E3"/>
                      </w:rPr>
                      <w:t>National Apartment Association Guidance for Dealing with the Coronavirus</w:t>
                    </w:r>
                  </w:hyperlink>
                  <w:r w:rsidRPr="00FE73D6">
                    <w:rPr>
                      <w:rFonts w:ascii="Arial" w:eastAsia="Times New Roman" w:hAnsi="Arial" w:cs="Arial"/>
                      <w:color w:val="003871"/>
                    </w:rPr>
                    <w:t>. A useful, regularly updated source for the latest news, best operational practices, federal, state, and local regulatory updates, and more.</w:t>
                  </w:r>
                </w:p>
                <w:p w14:paraId="69B7B6AE" w14:textId="77777777" w:rsidR="00F70DC8" w:rsidRPr="00FE73D6" w:rsidRDefault="00F70DC8" w:rsidP="00F833DC">
                  <w:pPr>
                    <w:numPr>
                      <w:ilvl w:val="0"/>
                      <w:numId w:val="1"/>
                    </w:numPr>
                    <w:spacing w:before="100" w:beforeAutospacing="1" w:after="100" w:afterAutospacing="1" w:line="360" w:lineRule="atLeast"/>
                    <w:rPr>
                      <w:rFonts w:ascii="Arial" w:eastAsia="Times New Roman" w:hAnsi="Arial" w:cs="Arial"/>
                      <w:color w:val="003871"/>
                    </w:rPr>
                  </w:pPr>
                  <w:hyperlink r:id="rId11" w:tgtFrame="_blank" w:tooltip="This external link will open in a new window" w:history="1">
                    <w:r w:rsidRPr="00FE73D6">
                      <w:rPr>
                        <w:rFonts w:ascii="Arial" w:eastAsia="Times New Roman" w:hAnsi="Arial" w:cs="Arial"/>
                        <w:b/>
                        <w:bCs/>
                        <w:color w:val="3574E3"/>
                      </w:rPr>
                      <w:t>Fannie Mae</w:t>
                    </w:r>
                  </w:hyperlink>
                  <w:r w:rsidRPr="00FE73D6">
                    <w:rPr>
                      <w:rFonts w:ascii="Arial" w:eastAsia="Times New Roman" w:hAnsi="Arial" w:cs="Arial"/>
                      <w:b/>
                      <w:bCs/>
                      <w:color w:val="003871"/>
                    </w:rPr>
                    <w:t> / </w:t>
                  </w:r>
                  <w:hyperlink r:id="rId12" w:tgtFrame="_blank" w:tooltip="This external link will open in a new window" w:history="1">
                    <w:r w:rsidRPr="00FE73D6">
                      <w:rPr>
                        <w:rFonts w:ascii="Arial" w:eastAsia="Times New Roman" w:hAnsi="Arial" w:cs="Arial"/>
                        <w:b/>
                        <w:bCs/>
                        <w:color w:val="3574E3"/>
                      </w:rPr>
                      <w:t>Freddie Mac</w:t>
                    </w:r>
                  </w:hyperlink>
                  <w:r w:rsidRPr="00FE73D6">
                    <w:rPr>
                      <w:rFonts w:ascii="Arial" w:eastAsia="Times New Roman" w:hAnsi="Arial" w:cs="Arial"/>
                      <w:b/>
                      <w:bCs/>
                      <w:color w:val="003871"/>
                    </w:rPr>
                    <w:t> Covid-19 Updates</w:t>
                  </w:r>
                  <w:r w:rsidRPr="00FE73D6">
                    <w:rPr>
                      <w:rFonts w:ascii="Arial" w:eastAsia="Times New Roman" w:hAnsi="Arial" w:cs="Arial"/>
                      <w:color w:val="003871"/>
                    </w:rPr>
                    <w:t>. Get the latest announcement and authoritative information on such issues as property inspections and risk mitigation.</w:t>
                  </w:r>
                </w:p>
                <w:p w14:paraId="47E81CCF" w14:textId="77777777" w:rsidR="00F70DC8" w:rsidRPr="00FE73D6" w:rsidRDefault="00F70DC8" w:rsidP="00F833DC">
                  <w:pPr>
                    <w:spacing w:line="360" w:lineRule="atLeast"/>
                    <w:rPr>
                      <w:rFonts w:ascii="Arial" w:eastAsia="Times New Roman" w:hAnsi="Arial" w:cs="Arial"/>
                      <w:color w:val="003871"/>
                    </w:rPr>
                  </w:pPr>
                </w:p>
              </w:tc>
            </w:tr>
          </w:tbl>
          <w:p w14:paraId="3210DB2B" w14:textId="77777777" w:rsidR="00F70DC8" w:rsidRPr="00FE73D6" w:rsidRDefault="00F70DC8" w:rsidP="00F833DC">
            <w:pPr>
              <w:spacing w:line="338" w:lineRule="atLeast"/>
              <w:rPr>
                <w:rFonts w:ascii="Arial" w:eastAsia="Times New Roman" w:hAnsi="Arial" w:cs="Arial"/>
                <w:color w:val="444444"/>
                <w:sz w:val="23"/>
                <w:szCs w:val="23"/>
              </w:rPr>
            </w:pPr>
          </w:p>
        </w:tc>
      </w:tr>
    </w:tbl>
    <w:p w14:paraId="743EF1C3" w14:textId="77777777" w:rsidR="00F70DC8" w:rsidRDefault="00F70DC8" w:rsidP="00F70DC8"/>
    <w:p w14:paraId="59295A0C" w14:textId="77777777" w:rsidR="008B0270" w:rsidRDefault="008B0270"/>
    <w:sectPr w:rsidR="008B0270"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51C84"/>
    <w:multiLevelType w:val="multilevel"/>
    <w:tmpl w:val="396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F0605"/>
    <w:multiLevelType w:val="multilevel"/>
    <w:tmpl w:val="3564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9664C"/>
    <w:multiLevelType w:val="multilevel"/>
    <w:tmpl w:val="5D4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73094"/>
    <w:multiLevelType w:val="multilevel"/>
    <w:tmpl w:val="A8E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C8"/>
    <w:rsid w:val="0038310B"/>
    <w:rsid w:val="003B6BB9"/>
    <w:rsid w:val="008B0270"/>
    <w:rsid w:val="00F7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15244"/>
  <w15:chartTrackingRefBased/>
  <w15:docId w15:val="{710AE027-E443-8F45-BD28-45667CDE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C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0DC8"/>
  </w:style>
  <w:style w:type="character" w:styleId="Strong">
    <w:name w:val="Strong"/>
    <w:basedOn w:val="DefaultParagraphFont"/>
    <w:uiPriority w:val="22"/>
    <w:qFormat/>
    <w:rsid w:val="00F70DC8"/>
    <w:rPr>
      <w:b/>
      <w:bCs/>
    </w:rPr>
  </w:style>
  <w:style w:type="character" w:styleId="Hyperlink">
    <w:name w:val="Hyperlink"/>
    <w:basedOn w:val="DefaultParagraphFont"/>
    <w:uiPriority w:val="99"/>
    <w:semiHidden/>
    <w:unhideWhenUsed/>
    <w:rsid w:val="00F70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7586">
      <w:bodyDiv w:val="1"/>
      <w:marLeft w:val="0"/>
      <w:marRight w:val="0"/>
      <w:marTop w:val="0"/>
      <w:marBottom w:val="0"/>
      <w:divBdr>
        <w:top w:val="none" w:sz="0" w:space="0" w:color="auto"/>
        <w:left w:val="none" w:sz="0" w:space="0" w:color="auto"/>
        <w:bottom w:val="none" w:sz="0" w:space="0" w:color="auto"/>
        <w:right w:val="none" w:sz="0" w:space="0" w:color="auto"/>
      </w:divBdr>
      <w:divsChild>
        <w:div w:id="818572497">
          <w:marLeft w:val="0"/>
          <w:marRight w:val="0"/>
          <w:marTop w:val="0"/>
          <w:marBottom w:val="0"/>
          <w:divBdr>
            <w:top w:val="none" w:sz="0" w:space="0" w:color="auto"/>
            <w:left w:val="none" w:sz="0" w:space="0" w:color="auto"/>
            <w:bottom w:val="none" w:sz="0" w:space="0" w:color="auto"/>
            <w:right w:val="none" w:sz="0" w:space="0" w:color="auto"/>
          </w:divBdr>
        </w:div>
        <w:div w:id="1637252936">
          <w:marLeft w:val="0"/>
          <w:marRight w:val="0"/>
          <w:marTop w:val="0"/>
          <w:marBottom w:val="0"/>
          <w:divBdr>
            <w:top w:val="none" w:sz="0" w:space="0" w:color="auto"/>
            <w:left w:val="none" w:sz="0" w:space="0" w:color="auto"/>
            <w:bottom w:val="none" w:sz="0" w:space="0" w:color="auto"/>
            <w:right w:val="none" w:sz="0" w:space="0" w:color="auto"/>
          </w:divBdr>
        </w:div>
        <w:div w:id="1791976925">
          <w:marLeft w:val="0"/>
          <w:marRight w:val="0"/>
          <w:marTop w:val="0"/>
          <w:marBottom w:val="0"/>
          <w:divBdr>
            <w:top w:val="none" w:sz="0" w:space="0" w:color="auto"/>
            <w:left w:val="none" w:sz="0" w:space="0" w:color="auto"/>
            <w:bottom w:val="none" w:sz="0" w:space="0" w:color="auto"/>
            <w:right w:val="none" w:sz="0" w:space="0" w:color="auto"/>
          </w:divBdr>
        </w:div>
        <w:div w:id="53701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v.t.hubspotemail.net/e2t/c/*W1nSC-P9bnxZcW2SG9wz6M6Gkq0/*W8Ml-Dl4VV6tFW4Tym7G4r8JW70/5/f18dQhb0S1Wd2WJLfhW12h79c2qy7p7W3j7p_z361djWW3ZwzJm6KrBFVW1kjXGW2HV77qW5yK3212HZfkQW7ZMcvn20nrzpW6YBJ4f4_lNWyW6z8shs3c7d-LW1LZvJM1rjYlGW4-gGgd2bVp7qW3V5M3y7rK-CWW8RKMbC8mM1qBW62mhLY2b8Pd5W7mvGXf5lm44bW5gcmQ98s3r8KW1bgsKd6YYGTQW2qq3CW603BY4W12j-jm5hbfMKW6fRP8b2WgH7fW3hQ1gW645WntW2q_5YF4YV-bnW70_dny7cJBGrW3wR9ZG4z33cdW39gctT1gkgsgW433fMR5tDL_YW3PZ8QD6ZP5vZV-Vtty1TpKSbW7ZdGGL126TkvW6wCPGf43HBQDVHDkkq6sYwN6W33lNmj8ZdccQW5j4gwd59m_ycW5Q37c612X5VXW5vhqfW1xcfvpW1_wXpP2N6mcYW1SXrL83Z5CNzW6v1c1z1nK9f5W5RHjBx4lxDYrW6Yg2Tq4xmgBcW1BPYW54DB62gW920xm23wTrL4W37pFwr8ZGq-qW3y313z56YMldV6B82B8KcX9dW52bRL65RyTqlW4XrVJK6R7dcyW1ksVXT2zdy3sW1MjYZY3p09pjW4xGjkf1zRFhkW92gJ2B2h2jNmW3w5FXs3phpNBW1zrhJj8XHxV3f42zmQm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v.t.hubspotemail.net/e2t/c/*W1nSC-P9bnxZcW2SG9wz6M6Gkq0/*VDms4B1Jq0cwW8tSV9k808HPN0/5/f18dQhb0S65M73F0FpW12gZmV61KJdsN19hS5rz76-1W2Rzdm_4VYY2kW2MvzRb7ZSkwyW3fWHRk8G06-yW5DsRPY7J3Y88W6BcmH82q5NkLW9l7d2m1MJpvqVPPlc17mGKyDW86wpYB8klN6GW8Wk9Nf8MhNS5W2QPTpn5sV7J6W4rmKwJ5q_PHhW3hH2sJ3hdRtTVsYqTB1jh1rrW26txDw8w-F2gVz65rn3fS8K5W3KKjtD5bDRlhVnypmg7l_4xFW7NSgXY8b3r3zW2KD_Qs8wnD4xW4-SSTZ3HvS-NW4JQ3Kl3X9-BCW8SjX896966TNW51t62X2PTfnnW5JTBpt8rsgmlW7-Ss_B32l0b7W6brH9v8gWq8DVzVwsh3tzRk9W1Py7PV5Mgm9bW1fDl5m2wCwBrW8v87S52FvSZRW5SkMWJ70nn-nW8VTfpB2CpjwxW3TMYph5T182tW7BtvV46MdZf9W5P5fkt4nZtWlW2HVX4P8D-sZYW9c88wd6KLvvjW4f22HF8Fs970W7cGMSF10Jk8pVc4pvR69768_W5GFVws6KRSpCW2lj7ll7d89wrW8DS31t6SVGX-W84FJKP5p5jvWW2K26bd22CFbyW2Bqhr2308ZP-W3k1jPq4hN1n6W9h1-tD2jFNxFW6WTMl07W7v5tW6Fc-4743_Gs-W6K8-vv47x8J1V3YZgP12QPxM103" TargetMode="External"/><Relationship Id="rId12" Type="http://schemas.openxmlformats.org/officeDocument/2006/relationships/hyperlink" Target="https://hv.t.hubspotemail.net/e2t/c/*W1nSC-P9bnxZcW2SG9wz6M6Gkq0/*W1wsDWd8-zCXXVg245m8-Xyw-0/5/f18dQhb0SbTJ8XJ8hgN7Nykf2HyjJqMRJd0zf6M1WW3hHh8k2P7_nXVcnTGj98JMXRW3SKmsS1x4m8yW51TK8196Ls9CW9hXpQ06R1FvzW90G7th8S3yR5VbY02S4s84PfW69_6661bnTsnW7JCxGl81bhBlW5TXwsM1Z66s1W83KHrF7J39pBW2przrY6W3RDgMHd1gvBr0q_VYSX-57m_B1RW5c8d-S377W1QW2ykwwQ3zqDSVW7f9vrV6pdN61W3600gp2h19nPN5t7V8DfJMmwW15YNfB5Dn4cLW3LMMfn2mlRnBW6_nY8x7MH6FzW3FSrdh6zYZLqF4GKCxhQfZvW5VkcGz7sss8WW1T6Xtt6K9-KwW3ZZDwz8gSB7NN538lwKnlmXQW7CtRwp5KHXhpW49kJ931rWYfzW3Cdk0d3wv7SmW4bJ00X7vSgz8W7y0K921Xb964W7jZK2C2JCK1SW7t4Q7V4rtTgfW2L5Ghq8ksMY1W1VPXm77ZBlY5W8cVrL_9gqGtJW2XhzGK6QTdJ9MlJKk6ZpcmqV9ZLcK2gYz1z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v.t.hubspotemail.net/e2t/c/*W1QbSr54dv07XW1xRj8w3Blrqq0/*W553XVr3GPDvpW2YyDLR9g57BK0/5/f18dQhb0Sq5B8YHrG2N7Nykf2HyjJqVRJrjY8rl79HW3hHhbQ5zh-NRVnQ9Qq8-y9tWW5866J-5p5NyMW2NTXSj2NTL-sW6BXl5_321_VyW2sd39y19R3L2W6KkMHH5rBWL_W9kwr5p6L170CW93Kyxx3DQxVDW6XXCTs9bTNXYW953-jP5ZpycSW57-ZBT83C5JPW1Z66s183KHrFW7J39pB2przrYN6W3RDgHd1h8MBr0q_YSX-5W7m_B1R5c8d-SW377W3C5Q1qWzW6Q6WmH3LzS0DW3Mqngf15vrW2W3szNK67dxMwRN7dHSFNfFxcrW4W_Z6t7fRLjlW6b2Xxl5XxrsFVS4ldg9h-TcBW7YFxfc6Z2P93W3h8H6D4TPcJnN1qcRfGGcHb1W8KMvw75P5RYbW7mLS1B5wFg_sW7dQrrG7mKccLN4WxktqhzVNsVnlkR-3RL9BPW8csLSq112nHyW5pd-Ps5B6cn6W3xc_4M3dM8wCW5B2twG5y60tqW6dB_031CksCfW7gYsvJ8kM8jpW6p-cXb85xKYxW3WS0p967hKRXW38RLlS4Hv3h3N4sPSdgrLh9QVrHSjS3mqbT5102" TargetMode="External"/><Relationship Id="rId11" Type="http://schemas.openxmlformats.org/officeDocument/2006/relationships/hyperlink" Target="https://hv.t.hubspotemail.net/e2t/c/*W1nSC-P9bnxZcW2SG9wz6M6Gkq0/*W1Ywt0p5Z8BlyW6Nhsxz7cVwMz0/5/f18dQhb0Sq5K8YHtdnN7Nykf2HyjJqMRJd0zf6M1WW3hHhd92P7_nXVcnTGj992gLmW4txBkr4rY3rmW51DnZV96Ls5VW95RRpw26px4tW3KsY6T4XySn5W1nrjx661SSZmW7mG7sD51vX4yW6HbF4t2xrgDbW5XqrwH5ZpycSW57-Ml490Zmb0W3dv1Ss3M3KtLW3dDvyr1cyTfXW1ks0Kj7SfkBcW2tFBr62z_scnW6x2RKS5-lMJcW5tkYHT2-CSCjW3dnDK0483SkRW3Y516z36g-jFW2X1TGN62RYvfW2pJWQL2CNx8sN3M6vh-XZfWHW7DGnxt1MlLtBW1-881l7WzlWPW1DfRV188h7GLW72wjT267VxHSW1S7bZK7sVmlnW1G3WpZ81PWPrW24clvN1gPc_2W76pXKr6CGpMhW65LgqR82G-VBMk_RtVVzQv-VVn7DD83vYWPW6zfHKL1Vg27PVvPj_f1SGmXpW7s5YHn2M1vgnV10N9F5xftxmW1MHjN89bY8vJV79PQS24xt43W226sSC1xMWhpN9dkdvjLG01PMrTzpY1nWFhf7S4K1F03" TargetMode="External"/><Relationship Id="rId5" Type="http://schemas.openxmlformats.org/officeDocument/2006/relationships/hyperlink" Target="https://hv.t.hubspotemail.net/e2t/c/*W1QbSr54dv07XW1xRj8w3Blrqq0/*W4xVdzB5FMSTHW65BSS_1PS6JZ0/5/f18dQhb0Sq5G8Y9Wm6W69_b921k63-nW1DpWG37wzQZzW6Dk5R21SrC8dVLDpF18B-Wz0VZ6Q4W1p7ybxW5yLrhL5wMw-5W3TJNkn643_N4W4Ws6gl2pCgtGW425k3w5Dbgq2W3zCRWz95RVC5W3JBp5R4tfZFvVb9-h461SSZmW7dDxTN7mWsnXW7dzcsS51vDDWW1bwwwg5rC5Q6W3lzN6v4Dl4vzW3sxGBh1wJDQ9W4ldc768hz0YsW806yj370ml3sW3pBydw31PJR1W4-Qmv35r57SXW7s1MWr5nCkXpW7hn_yC4lZ1xVW4K6-HQ4gwgr9W1sBhf17qR8gCW65Ptvj4p8Z0hW8DG5YL6D2dn4N5S4g1DpgJk2W3JcJRg5xWcsrW2YZCXb8FPDv7N7rBwNJTf6XzW7pyKLk8DGVmSVkbRqj7kJzP7VhV9W749kJ9cW7c9r_81Q68w6W1MMh8v6NWrvxW3Lrmxv3PvDPMVZC4z23Ht6NWW60n0K18q5l4YW1nPLyC1Ngx1cW51bF0j4ys7vGW369Y_N1MPFGCW6J0Fgy6NXbf7W1mHqKm4Btwt4M4ZDML2LMBkTGL6f5xT1BF103" TargetMode="External"/><Relationship Id="rId10" Type="http://schemas.openxmlformats.org/officeDocument/2006/relationships/hyperlink" Target="https://hv.t.hubspotemail.net/e2t/c/*W1nSC-P9bnxZcW2SG9wz6M6Gkq0/*W7jhBSS1S4rdlVlTQff75SDTW0/5/f18dQhb0S1Wd2Rwhz9Tv_k04RB8q_N6sj_5dRWMHDW6G834K1t_sy4W6DNgkV12Pv0XW85dPl_3hgqbXN2p83LfM4GZLW8vtfF88wrWLqW41JkXR8pLpdrW8k5Cm45bccXJW39Y8lV41DSZLW3CLy_M4tlvc2W5c-pkD7y1rtCW4rts6n5VnC2TW6Bt5mC1hMN3yW70ZM6050t5KRW82523C6vggwLW50CNTY1sYqSKW3nkt-X63D3HyV3j8G73NtXvwW2tZF112nxVvqW52VdRS6s6sNgW5XQTnJ4r70zDW1xFgq425pb1lMr1v3XjYfv4W6n4fsB2-gyNTW4Gbz2f42ql6KW4sjzfw8MzXr_W31MC3k6vqcRYW52TvxT6Kd6P6W3w77vt3jWyL7W4JJDDN7dVyJWW20rMKt38Yj3RW39w49M7yMLzzW6l-VZL5NyJ-mW6V-6mc1WlSY-W5qMf-x8LvJ1MW8d2lLv1CV1CwN6DhH__MvGRnW4F5gCy4k0H2TW7q57Cx3dQlNfN59MVdT8xpqMW2QyflB7g7zKrW6KHdZ_6pGv8jW8NxdJr7VNv3wW1qTGkS94N-rPVmR86s3Njdlqf87-MMy11" TargetMode="External"/><Relationship Id="rId4" Type="http://schemas.openxmlformats.org/officeDocument/2006/relationships/webSettings" Target="webSettings.xml"/><Relationship Id="rId9" Type="http://schemas.openxmlformats.org/officeDocument/2006/relationships/hyperlink" Target="https://hv.t.hubspotemail.net/e2t/c/*W1nSC-P9bnxZcW2SG9wz6M6Gkq0/*W1-TkDQ7C7gNTW2L6LmS52PsW20/5/f18dQhb0S3j22k5LNLW12PbMJ2_V3SjVjqjFR2sxpNkW1njHgc4VY6vSW1cn0T27G5CrNW8SkPkX6TF0BDW5pZtQr2WMkLlW6C8XGx19zVDtW22Ym2d4fMCw_W6p-jj76qKpBkW4zB92J2dkw6pW91cP6z4DzFskW6b6fsk8zG0B4N37FmwYXCDMFW3_HK5y1fVtwCVmWzb63QcHcfW4_cVpD7lhv3VW5PB7fV8Nylw7MvFy18K1Gb8W23KqjX4-n4qTW2VhRLV2YT77zW6cZscP1k9np3W2zFp9K5_Tvj0W21ksnp7Md1sjW1MZ7bm2lQdZnW7cd9Zd2z1H0wW2BQ27l3QXrFxW8q04tY76tDXLMNP4FfFpsMmW7ZygDN8xnB41W5tkNH-11xf0HW7GnRJW5BLyL7W27W04422X5yTW4nrqR68CNztGN1-fHmj7T01JW7QV-Hx8Dd12zW3Z6G183Wvd3fW7P7Vcz4ccdDrV__GYj4SZBlhW4Q27pS7_44g4VWg06n91c-7JW9b80Kl3TrwTXN7LqdQ_51GSLW5pB9Wv659FLjW5x2tFc1BHKjsW2CTJZq7dXNMpW4pkYvD7fZLYqW1DFL8X6H3f9LW9f8Z-199LvcSW4F8fd36-QS8WW92vv0r8DChw9W43_MZb6p_PqsF30l4vG7f2MdhbM2n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1</cp:revision>
  <dcterms:created xsi:type="dcterms:W3CDTF">2020-03-26T23:39:00Z</dcterms:created>
  <dcterms:modified xsi:type="dcterms:W3CDTF">2020-03-26T23:51:00Z</dcterms:modified>
</cp:coreProperties>
</file>