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1431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268"/>
        <w:gridCol w:w="1603"/>
        <w:gridCol w:w="2982"/>
        <w:gridCol w:w="1437"/>
        <w:gridCol w:w="1380"/>
        <w:gridCol w:w="2436"/>
        <w:gridCol w:w="1655"/>
        <w:gridCol w:w="1552"/>
      </w:tblGrid>
      <w:tr>
        <w:tblPrEx>
          <w:shd w:val="clear" w:color="auto" w:fill="00a2ff"/>
        </w:tblPrEx>
        <w:trPr>
          <w:trHeight w:val="310" w:hRule="atLeast"/>
          <w:tblHeader/>
        </w:trPr>
        <w:tc>
          <w:tcPr>
            <w:tcW w:type="dxa" w:w="1268"/>
            <w:tcBorders>
              <w:top w:val="nil"/>
              <w:left w:val="nil"/>
              <w:bottom w:val="single" w:color="515151" w:sz="8" w:space="0" w:shadow="0" w:frame="0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3"/>
            <w:tcBorders>
              <w:top w:val="nil"/>
              <w:left w:val="nil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Arial" w:hAnsi="Arial"/>
                <w:rtl w:val="0"/>
                <w:lang w:val="fr-FR"/>
              </w:rPr>
              <w:t>Content Objectives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Strand</w:t>
            </w:r>
          </w:p>
        </w:tc>
        <w:tc>
          <w:tcPr>
            <w:tcW w:type="dxa" w:w="13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e-DE"/>
              </w:rPr>
              <w:t>Strand Unit</w:t>
            </w:r>
          </w:p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</w:rPr>
              <w:t>Concept</w:t>
            </w:r>
          </w:p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Resource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Comments</w:t>
            </w:r>
          </w:p>
        </w:tc>
      </w:tr>
      <w:tr>
        <w:tblPrEx>
          <w:shd w:val="clear" w:color="auto" w:fill="cadfff"/>
        </w:tblPrEx>
        <w:trPr>
          <w:trHeight w:val="1487" w:hRule="atLeast"/>
        </w:trPr>
        <w:tc>
          <w:tcPr>
            <w:tcW w:type="dxa" w:w="1268"/>
            <w:vMerge w:val="restart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tl w:val="0"/>
                <w:lang w:val="de-DE"/>
              </w:rPr>
              <w:t xml:space="preserve">September    </w:t>
            </w:r>
          </w:p>
        </w:tc>
        <w:tc>
          <w:tcPr>
            <w:tcW w:type="dxa" w:w="1603"/>
            <w:tcBorders>
              <w:top w:val="single" w:color="515151" w:sz="8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Lesson 1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Sounds and Symbols</w:t>
            </w:r>
          </w:p>
        </w:tc>
        <w:tc>
          <w:tcPr>
            <w:tcW w:type="dxa" w:w="2982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515151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Recognise and classify sounds using different criteria  </w:t>
            </w:r>
          </w:p>
          <w:p>
            <w:pPr>
              <w:pStyle w:val="Table Style 2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Recognise and demonstrate pitch differences  </w:t>
            </w:r>
          </w:p>
        </w:tc>
        <w:tc>
          <w:tcPr>
            <w:tcW w:type="dxa" w:w="1437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515151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Listening and Responding</w:t>
            </w:r>
          </w:p>
        </w:tc>
        <w:tc>
          <w:tcPr>
            <w:tcW w:type="dxa" w:w="1380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515151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Exploring Sounds</w:t>
            </w:r>
          </w:p>
        </w:tc>
        <w:tc>
          <w:tcPr>
            <w:tcW w:type="dxa" w:w="2436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515151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A sense of pitch</w:t>
            </w:r>
          </w:p>
          <w:p>
            <w:pPr>
              <w:pStyle w:val="Table Style 2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A sense of structure </w:t>
            </w:r>
          </w:p>
          <w:p>
            <w:pPr>
              <w:pStyle w:val="Table Style 2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 sense of duration</w:t>
            </w:r>
          </w:p>
        </w:tc>
        <w:tc>
          <w:tcPr>
            <w:tcW w:type="dxa" w:w="1655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515151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/>
            </w:pPr>
            <w:r>
              <w:rPr>
                <w:rtl w:val="0"/>
                <w:lang w:val="nl-NL"/>
              </w:rPr>
              <w:t xml:space="preserve">The Front Door 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                      </w:t>
            </w:r>
          </w:p>
        </w:tc>
        <w:tc>
          <w:tcPr>
            <w:tcW w:type="dxa" w:w="1551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861" w:hRule="atLeast"/>
        </w:trPr>
        <w:tc>
          <w:tcPr>
            <w:tcW w:type="dxa" w:w="1268"/>
            <w:vMerge w:val="continue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5d5d5"/>
          </w:tcPr>
          <w:p/>
        </w:tc>
        <w:tc>
          <w:tcPr>
            <w:tcW w:type="dxa" w:w="160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de-DE"/>
              </w:rPr>
              <w:t xml:space="preserve">Lesson 2  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Compose with Symbols</w:t>
            </w:r>
          </w:p>
        </w:tc>
        <w:tc>
          <w:tcPr>
            <w:tcW w:type="dxa" w:w="2982"/>
            <w:tcBorders>
              <w:top w:val="single" w:color="515151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Recognise and classify sounds using different criteria  </w:t>
            </w:r>
          </w:p>
          <w:p>
            <w:pPr>
              <w:pStyle w:val="Table Style 2"/>
              <w:numPr>
                <w:ilvl w:val="0"/>
                <w:numId w:val="5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Invent graphic symbols or use standard notation to represent selected sounds </w:t>
            </w:r>
          </w:p>
        </w:tc>
        <w:tc>
          <w:tcPr>
            <w:tcW w:type="dxa" w:w="1437"/>
            <w:tcBorders>
              <w:top w:val="single" w:color="515151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lang w:val="en-US"/>
              </w:rPr>
            </w:pPr>
            <w:r>
              <w:rPr>
                <w:rtl w:val="0"/>
                <w:lang w:val="en-US"/>
              </w:rPr>
              <w:t>Listening and Responding</w:t>
            </w:r>
          </w:p>
          <w:p>
            <w:pPr>
              <w:pStyle w:val="Table Style 2"/>
              <w:rPr>
                <w:lang w:val="en-US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Composing</w:t>
            </w:r>
          </w:p>
        </w:tc>
        <w:tc>
          <w:tcPr>
            <w:tcW w:type="dxa" w:w="1380"/>
            <w:tcBorders>
              <w:top w:val="single" w:color="515151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lang w:val="en-US"/>
              </w:rPr>
            </w:pPr>
            <w:r>
              <w:rPr>
                <w:rtl w:val="0"/>
                <w:lang w:val="en-US"/>
              </w:rPr>
              <w:t>Exploring Sounds</w:t>
            </w:r>
          </w:p>
          <w:p>
            <w:pPr>
              <w:pStyle w:val="Table Style 2"/>
              <w:rPr>
                <w:lang w:val="en-US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Talking about and recording Composition</w:t>
            </w:r>
          </w:p>
        </w:tc>
        <w:tc>
          <w:tcPr>
            <w:tcW w:type="dxa" w:w="2436"/>
            <w:tcBorders>
              <w:top w:val="single" w:color="515151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A sense of pitch</w:t>
            </w:r>
          </w:p>
          <w:p>
            <w:pPr>
              <w:pStyle w:val="Table Style 2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A sense of structure </w:t>
            </w:r>
          </w:p>
          <w:p>
            <w:pPr>
              <w:pStyle w:val="Table Style 2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 sense of duration</w:t>
            </w:r>
          </w:p>
        </w:tc>
        <w:tc>
          <w:tcPr>
            <w:tcW w:type="dxa" w:w="1655"/>
            <w:tcBorders>
              <w:top w:val="single" w:color="515151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/>
            </w:pPr>
            <w:r>
              <w:rPr>
                <w:rtl w:val="0"/>
                <w:lang w:val="nl-NL"/>
              </w:rPr>
              <w:t xml:space="preserve">The Front Door </w:t>
            </w:r>
          </w:p>
          <w:p>
            <w:pPr>
              <w:pStyle w:val="Table Style 2"/>
              <w:rPr>
                <w:lang w:val="en-US"/>
              </w:rPr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                      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939" w:hRule="atLeast"/>
        </w:trPr>
        <w:tc>
          <w:tcPr>
            <w:tcW w:type="dxa" w:w="1268"/>
            <w:vMerge w:val="continue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5d5d5"/>
          </w:tcPr>
          <w:p/>
        </w:tc>
        <w:tc>
          <w:tcPr>
            <w:tcW w:type="dxa" w:w="160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it-IT"/>
              </w:rPr>
              <w:t xml:space="preserve">Lesson 3 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Sounds from a Story</w:t>
            </w:r>
          </w:p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Listen to, identify and describe sounds in the environment with increasing awareness </w:t>
            </w:r>
          </w:p>
          <w:p>
            <w:pPr>
              <w:pStyle w:val="Table Style 2"/>
              <w:numPr>
                <w:ilvl w:val="0"/>
                <w:numId w:val="7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Invent graphic symbols or use standard notation to represent selected sounds 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/>
            </w:pPr>
            <w:r>
              <w:rPr>
                <w:rtl w:val="0"/>
                <w:lang w:val="en-US"/>
              </w:rPr>
              <w:t>Listening and Responding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Composing</w:t>
            </w:r>
          </w:p>
        </w:tc>
        <w:tc>
          <w:tcPr>
            <w:tcW w:type="dxa" w:w="13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/>
            </w:pPr>
            <w:r>
              <w:rPr>
                <w:rtl w:val="0"/>
                <w:lang w:val="en-US"/>
              </w:rPr>
              <w:t>Exploring sounds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Talking about and recording Composition</w:t>
            </w:r>
          </w:p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A sense of pitch </w:t>
            </w:r>
          </w:p>
          <w:p>
            <w:pPr>
              <w:pStyle w:val="Table Style 2"/>
              <w:numPr>
                <w:ilvl w:val="0"/>
                <w:numId w:val="9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A sense of timbre </w:t>
            </w:r>
          </w:p>
          <w:p>
            <w:pPr>
              <w:pStyle w:val="Table Style 2"/>
              <w:numPr>
                <w:ilvl w:val="0"/>
                <w:numId w:val="9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 sense of structure</w:t>
            </w:r>
          </w:p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/>
            </w:pPr>
            <w:r>
              <w:rPr>
                <w:rtl w:val="0"/>
                <w:lang w:val="en-US"/>
              </w:rPr>
              <w:t>Worksheet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 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947" w:hRule="atLeast"/>
        </w:trPr>
        <w:tc>
          <w:tcPr>
            <w:tcW w:type="dxa" w:w="1268"/>
            <w:vMerge w:val="continue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d5d5d5"/>
          </w:tcPr>
          <w:p/>
        </w:tc>
        <w:tc>
          <w:tcPr>
            <w:tcW w:type="dxa" w:w="1603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Lesson 4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Artist Profile - Stevie Wonder</w:t>
            </w:r>
          </w:p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Listen to a range of short pieces or familiar and unfamiliar pieces of music or excerpts </w:t>
            </w:r>
          </w:p>
          <w:p>
            <w:pPr>
              <w:pStyle w:val="Table Style 2"/>
              <w:numPr>
                <w:ilvl w:val="0"/>
                <w:numId w:val="10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Talk about pieces of music, giving preferences, and illustrate responses in a variety of ways </w:t>
            </w:r>
          </w:p>
        </w:tc>
        <w:tc>
          <w:tcPr>
            <w:tcW w:type="dxa" w:w="14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  <w:lang w:val="en-US"/>
              </w:rPr>
              <w:t>Listening and Responding</w:t>
            </w:r>
            <w:r>
              <w:rPr/>
            </w:r>
          </w:p>
        </w:tc>
        <w:tc>
          <w:tcPr>
            <w:tcW w:type="dxa" w:w="13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/>
            </w:pPr>
            <w:r>
              <w:rPr>
                <w:rtl w:val="0"/>
                <w:lang w:val="en-US"/>
              </w:rPr>
              <w:t>Listening and Responding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</w:pPr>
            <w:r>
              <w:rPr/>
            </w:r>
          </w:p>
        </w:tc>
        <w:tc>
          <w:tcPr>
            <w:tcW w:type="dxa" w:w="24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A sense of rhythm</w:t>
            </w:r>
          </w:p>
          <w:p>
            <w:pPr>
              <w:pStyle w:val="Table Style 2"/>
              <w:numPr>
                <w:ilvl w:val="0"/>
                <w:numId w:val="1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 xml:space="preserve">A sense of structure </w:t>
            </w:r>
          </w:p>
          <w:p>
            <w:pPr>
              <w:pStyle w:val="Table Style 2"/>
              <w:numPr>
                <w:ilvl w:val="0"/>
                <w:numId w:val="1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 sense of duration</w:t>
            </w:r>
          </w:p>
          <w:p>
            <w:pPr>
              <w:pStyle w:val="Table Style 2"/>
              <w:numPr>
                <w:ilvl w:val="0"/>
                <w:numId w:val="11"/>
              </w:numPr>
              <w:bidi w:val="0"/>
              <w:ind w:right="0"/>
              <w:jc w:val="left"/>
              <w:rPr>
                <w:rtl w:val="0"/>
                <w:lang w:val="en-US"/>
              </w:rPr>
            </w:pPr>
            <w:r>
              <w:rPr>
                <w:rtl w:val="0"/>
                <w:lang w:val="en-US"/>
              </w:rPr>
              <w:t>a sense of timbre</w:t>
            </w:r>
          </w:p>
        </w:tc>
        <w:tc>
          <w:tcPr>
            <w:tcW w:type="dxa" w:w="1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/>
            </w:pPr>
            <w:r>
              <w:rPr>
                <w:rtl w:val="0"/>
                <w:lang w:val="en-US"/>
              </w:rPr>
              <w:t xml:space="preserve">Listening resources </w:t>
            </w:r>
          </w:p>
          <w:p>
            <w:pPr>
              <w:pStyle w:val="Table Style 2"/>
              <w:rPr/>
            </w:pP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Worksheets</w:t>
            </w:r>
          </w:p>
        </w:tc>
        <w:tc>
          <w:tcPr>
            <w:tcW w:type="dxa" w:w="15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ind w:left="108" w:hanging="108"/>
      </w:pPr>
    </w:p>
    <w:p>
      <w:pPr>
        <w:pStyle w:val="Body A"/>
      </w:pPr>
      <w:r/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7286"/>
        <w:tab w:val="right" w:pos="14552"/>
        <w:tab w:val="clear" w:pos="9020"/>
      </w:tabs>
    </w:pPr>
    <w:r>
      <w:rPr>
        <w:b w:val="1"/>
        <w:bCs w:val="1"/>
        <w:sz w:val="28"/>
        <w:szCs w:val="28"/>
        <w:u w:color="000000"/>
        <w:rtl w:val="0"/>
        <w:lang w:val="en-US"/>
      </w:rPr>
      <w:t>2nd</w:t>
    </w:r>
    <w:r>
      <w:rPr>
        <w:b w:val="1"/>
        <w:bCs w:val="1"/>
        <w:sz w:val="30"/>
        <w:szCs w:val="30"/>
        <w:u w:color="000000"/>
        <w:rtl w:val="0"/>
        <w:lang w:val="en-US"/>
      </w:rPr>
      <w:t xml:space="preserve"> </w:t>
    </w:r>
    <w:r>
      <w:rPr>
        <w:b w:val="1"/>
        <w:bCs w:val="1"/>
        <w:sz w:val="28"/>
        <w:szCs w:val="28"/>
        <w:u w:color="000000"/>
        <w:rtl w:val="0"/>
        <w:lang w:val="en-US"/>
      </w:rPr>
      <w:t xml:space="preserve">Class </w:t>
    </w:r>
    <w:r>
      <w:rPr>
        <w:rFonts w:ascii="Helvetica Neue Medium" w:hAnsi="Helvetica Neue Medium"/>
        <w:sz w:val="28"/>
        <w:szCs w:val="28"/>
        <w:u w:color="000000"/>
        <w:rtl w:val="0"/>
        <w:lang w:val="en-US"/>
      </w:rPr>
      <w:t xml:space="preserve">- </w:t>
    </w:r>
    <w:r>
      <w:rPr>
        <w:rFonts w:ascii="Helvetica Neue Medium" w:hAnsi="Helvetica Neue Medium"/>
        <w:sz w:val="28"/>
        <w:szCs w:val="28"/>
        <w:u w:color="000000"/>
        <w:rtl w:val="0"/>
        <w:lang w:val="de-DE"/>
      </w:rPr>
      <w:t xml:space="preserve">Music  </w:t>
    </w:r>
    <w:r>
      <w:rPr>
        <w:rFonts w:ascii="Helvetica Neue Medium" w:hAnsi="Helvetica Neue Medium"/>
        <w:sz w:val="28"/>
        <w:szCs w:val="28"/>
        <w:u w:color="000000"/>
        <w:rtl w:val="0"/>
        <w:lang w:val="en-US"/>
      </w:rPr>
      <w:t xml:space="preserve">             Teacher:                                         </w:t>
    </w:r>
    <w:r>
      <w:rPr>
        <w:rFonts w:ascii="Helvetica Neue Medium" w:hAnsi="Helvetica Neue Medium"/>
        <w:sz w:val="28"/>
        <w:szCs w:val="28"/>
        <w:u w:color="000000"/>
        <w:rtl w:val="0"/>
        <w:lang w:val="de-DE"/>
      </w:rPr>
      <w:t>Date: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28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0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72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44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16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88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0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32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04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6"/>
    <w:lvlOverride w:ilvl="0">
      <w:lvl w:ilvl="0">
        <w:start w:val="1"/>
        <w:numFmt w:val="bullet"/>
        <w:suff w:val="tab"/>
        <w:lvlText w:val="•"/>
        <w:lvlJc w:val="left"/>
        <w:pPr>
          <w:ind w:left="28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0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72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44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16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88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0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32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043" w:hanging="283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