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153" w:rsidRPr="00311153" w:rsidRDefault="00311153" w:rsidP="00311153">
      <w:pPr>
        <w:spacing w:after="120"/>
        <w:jc w:val="center"/>
        <w:rPr>
          <w:b/>
          <w:sz w:val="32"/>
          <w:szCs w:val="32"/>
        </w:rPr>
      </w:pPr>
      <w:r w:rsidRPr="00311153">
        <w:rPr>
          <w:b/>
          <w:sz w:val="32"/>
          <w:szCs w:val="32"/>
        </w:rPr>
        <w:t>Maslow’s Qualities of Transcending Self-</w:t>
      </w:r>
      <w:proofErr w:type="spellStart"/>
      <w:r w:rsidRPr="00311153">
        <w:rPr>
          <w:b/>
          <w:sz w:val="32"/>
          <w:szCs w:val="32"/>
        </w:rPr>
        <w:t>Actualizers</w:t>
      </w:r>
      <w:proofErr w:type="spellEnd"/>
    </w:p>
    <w:p w:rsidR="00A76A87" w:rsidRDefault="00A76A87" w:rsidP="00A76A87">
      <w:pPr>
        <w:rPr>
          <w:sz w:val="22"/>
          <w:szCs w:val="22"/>
        </w:rPr>
      </w:pPr>
      <w:r>
        <w:rPr>
          <w:sz w:val="22"/>
          <w:szCs w:val="22"/>
        </w:rPr>
        <w:t xml:space="preserve">Abraham </w:t>
      </w:r>
      <w:r w:rsidRPr="00874144">
        <w:rPr>
          <w:sz w:val="22"/>
          <w:szCs w:val="22"/>
        </w:rPr>
        <w:t>Maslow</w:t>
      </w:r>
      <w:r w:rsidRPr="00874144">
        <w:rPr>
          <w:rStyle w:val="EndnoteReference"/>
          <w:sz w:val="22"/>
          <w:szCs w:val="22"/>
        </w:rPr>
        <w:endnoteReference w:id="1"/>
      </w:r>
      <w:r>
        <w:rPr>
          <w:sz w:val="22"/>
          <w:szCs w:val="22"/>
        </w:rPr>
        <w:t xml:space="preserve"> </w:t>
      </w:r>
      <w:r w:rsidRPr="00874144">
        <w:rPr>
          <w:sz w:val="22"/>
          <w:szCs w:val="22"/>
        </w:rPr>
        <w:t xml:space="preserve">compiled a set of qualities that distinguish transcending self-actualizers from </w:t>
      </w:r>
      <w:proofErr w:type="spellStart"/>
      <w:r w:rsidRPr="00874144">
        <w:rPr>
          <w:sz w:val="22"/>
          <w:szCs w:val="22"/>
        </w:rPr>
        <w:t>nontransc</w:t>
      </w:r>
      <w:r>
        <w:rPr>
          <w:sz w:val="22"/>
          <w:szCs w:val="22"/>
        </w:rPr>
        <w:t>ending</w:t>
      </w:r>
      <w:proofErr w:type="spellEnd"/>
      <w:r>
        <w:rPr>
          <w:sz w:val="22"/>
          <w:szCs w:val="22"/>
        </w:rPr>
        <w:t xml:space="preserve"> self-actualizers. They </w:t>
      </w:r>
      <w:r w:rsidRPr="00874144">
        <w:rPr>
          <w:sz w:val="22"/>
          <w:szCs w:val="22"/>
        </w:rPr>
        <w:t xml:space="preserve">may be helpful in assessing </w:t>
      </w:r>
      <w:r>
        <w:rPr>
          <w:sz w:val="22"/>
          <w:szCs w:val="22"/>
        </w:rPr>
        <w:t xml:space="preserve">one’s </w:t>
      </w:r>
      <w:r w:rsidRPr="00874144">
        <w:rPr>
          <w:sz w:val="22"/>
          <w:szCs w:val="22"/>
        </w:rPr>
        <w:t>core values and core strengths.</w:t>
      </w:r>
    </w:p>
    <w:p w:rsidR="00AC438E" w:rsidRPr="00311153" w:rsidRDefault="00AC438E" w:rsidP="00A76A87">
      <w:pPr>
        <w:rPr>
          <w:b/>
        </w:rPr>
      </w:pPr>
    </w:p>
    <w:p w:rsidR="00A76A87" w:rsidRDefault="00A76A87" w:rsidP="00A76A87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2.25pt;margin-top:4pt;width:398.1pt;height:21.75pt;z-index:251660288;mso-wrap-style:none">
            <v:textbox style="mso-fit-shape-to-text:t">
              <w:txbxContent>
                <w:p w:rsidR="00A76A87" w:rsidRPr="00C20809" w:rsidRDefault="00A76A87" w:rsidP="00C20809">
                  <w:pPr>
                    <w:jc w:val="center"/>
                    <w:rPr>
                      <w:b/>
                    </w:rPr>
                  </w:pPr>
                  <w:r w:rsidRPr="00311153">
                    <w:rPr>
                      <w:b/>
                    </w:rPr>
                    <w:t xml:space="preserve">Give yourself a score of 1 to 5: 1 applies the least, 5 reflects who I </w:t>
                  </w:r>
                  <w:r>
                    <w:rPr>
                      <w:b/>
                    </w:rPr>
                    <w:t xml:space="preserve">truly </w:t>
                  </w:r>
                  <w:r w:rsidRPr="00311153">
                    <w:rPr>
                      <w:b/>
                    </w:rPr>
                    <w:t>am</w:t>
                  </w:r>
                  <w:r>
                    <w:rPr>
                      <w:b/>
                    </w:rPr>
                    <w:t>.</w:t>
                  </w:r>
                </w:p>
              </w:txbxContent>
            </v:textbox>
            <w10:wrap type="square"/>
          </v:shape>
        </w:pict>
      </w:r>
      <w:r w:rsidR="00311153">
        <w:t xml:space="preserve"> </w:t>
      </w:r>
    </w:p>
    <w:p w:rsidR="00A76A87" w:rsidRDefault="00A76A87" w:rsidP="00A76A87">
      <w:pPr>
        <w:jc w:val="center"/>
        <w:rPr>
          <w:b/>
        </w:rPr>
      </w:pPr>
    </w:p>
    <w:p w:rsidR="006505D8" w:rsidRDefault="006505D8" w:rsidP="00A76A87"/>
    <w:p w:rsidR="00311153" w:rsidRPr="00311153" w:rsidRDefault="00311153" w:rsidP="00311153">
      <w:pPr>
        <w:pStyle w:val="ListParagraph"/>
        <w:numPr>
          <w:ilvl w:val="0"/>
          <w:numId w:val="1"/>
        </w:numPr>
        <w:spacing w:after="120"/>
        <w:ind w:left="720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 </w:t>
      </w:r>
      <w:r w:rsidRPr="00311153">
        <w:rPr>
          <w:sz w:val="22"/>
          <w:szCs w:val="22"/>
        </w:rPr>
        <w:t xml:space="preserve">For the </w:t>
      </w:r>
      <w:proofErr w:type="spellStart"/>
      <w:r w:rsidRPr="00311153">
        <w:rPr>
          <w:sz w:val="22"/>
          <w:szCs w:val="22"/>
        </w:rPr>
        <w:t>transcenders</w:t>
      </w:r>
      <w:proofErr w:type="spellEnd"/>
      <w:r w:rsidRPr="00311153">
        <w:rPr>
          <w:sz w:val="22"/>
          <w:szCs w:val="22"/>
        </w:rPr>
        <w:t xml:space="preserve">, peak experiences and plateau experiences become </w:t>
      </w:r>
      <w:r w:rsidRPr="00311153">
        <w:rPr>
          <w:i/>
          <w:iCs/>
          <w:sz w:val="22"/>
          <w:szCs w:val="22"/>
        </w:rPr>
        <w:t>the</w:t>
      </w:r>
      <w:r w:rsidRPr="00311153">
        <w:rPr>
          <w:sz w:val="22"/>
          <w:szCs w:val="22"/>
        </w:rPr>
        <w:t xml:space="preserve"> most important things in their lives, the most precious aspect of life. </w:t>
      </w:r>
    </w:p>
    <w:p w:rsidR="00311153" w:rsidRPr="00311153" w:rsidRDefault="00311153" w:rsidP="00311153">
      <w:pPr>
        <w:pStyle w:val="ListParagraph"/>
        <w:numPr>
          <w:ilvl w:val="0"/>
          <w:numId w:val="1"/>
        </w:numPr>
        <w:spacing w:after="120"/>
        <w:ind w:left="720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Pr="00311153">
        <w:rPr>
          <w:sz w:val="22"/>
          <w:szCs w:val="22"/>
        </w:rPr>
        <w:t xml:space="preserve">They speak naturally and unconsciously the language of poets, mystics, seers, of profoundly </w:t>
      </w:r>
      <w:r>
        <w:rPr>
          <w:sz w:val="22"/>
          <w:szCs w:val="22"/>
        </w:rPr>
        <w:t>spiritual individuals</w:t>
      </w:r>
      <w:r w:rsidRPr="00311153">
        <w:rPr>
          <w:sz w:val="22"/>
          <w:szCs w:val="22"/>
        </w:rPr>
        <w:t xml:space="preserve"> who live under the aspect of eternity, the language of parable and paradox.</w:t>
      </w:r>
    </w:p>
    <w:p w:rsidR="00311153" w:rsidRPr="00311153" w:rsidRDefault="00311153" w:rsidP="00311153">
      <w:pPr>
        <w:pStyle w:val="ListParagraph"/>
        <w:numPr>
          <w:ilvl w:val="0"/>
          <w:numId w:val="1"/>
        </w:numPr>
        <w:spacing w:after="120"/>
        <w:ind w:left="720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r w:rsidRPr="00311153">
        <w:rPr>
          <w:sz w:val="22"/>
          <w:szCs w:val="22"/>
        </w:rPr>
        <w:t xml:space="preserve">They perceive </w:t>
      </w:r>
      <w:proofErr w:type="spellStart"/>
      <w:r w:rsidRPr="00311153">
        <w:rPr>
          <w:sz w:val="22"/>
          <w:szCs w:val="22"/>
        </w:rPr>
        <w:t>unitively</w:t>
      </w:r>
      <w:proofErr w:type="spellEnd"/>
      <w:r w:rsidRPr="00311153">
        <w:rPr>
          <w:sz w:val="22"/>
          <w:szCs w:val="22"/>
        </w:rPr>
        <w:t xml:space="preserve"> the sacred within the secular, i.e., the sacredness in all things </w:t>
      </w:r>
      <w:r w:rsidRPr="00311153">
        <w:rPr>
          <w:i/>
          <w:iCs/>
          <w:sz w:val="22"/>
          <w:szCs w:val="22"/>
        </w:rPr>
        <w:t>at the same time</w:t>
      </w:r>
      <w:r w:rsidRPr="00311153">
        <w:rPr>
          <w:sz w:val="22"/>
          <w:szCs w:val="22"/>
        </w:rPr>
        <w:t xml:space="preserve"> that they also see them at the practical, everyday level. This ability is in </w:t>
      </w:r>
      <w:r w:rsidRPr="00311153">
        <w:rPr>
          <w:i/>
          <w:iCs/>
          <w:sz w:val="22"/>
          <w:szCs w:val="22"/>
        </w:rPr>
        <w:t>addition</w:t>
      </w:r>
      <w:r w:rsidRPr="00311153">
        <w:rPr>
          <w:sz w:val="22"/>
          <w:szCs w:val="22"/>
        </w:rPr>
        <w:t xml:space="preserve"> to—not mutually exclusive with—good reality testing. </w:t>
      </w:r>
    </w:p>
    <w:p w:rsidR="00311153" w:rsidRPr="00311153" w:rsidRDefault="00311153" w:rsidP="00311153">
      <w:pPr>
        <w:pStyle w:val="ListParagraph"/>
        <w:numPr>
          <w:ilvl w:val="0"/>
          <w:numId w:val="1"/>
        </w:numPr>
        <w:spacing w:after="120"/>
        <w:ind w:left="720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 </w:t>
      </w:r>
      <w:r w:rsidRPr="00311153">
        <w:rPr>
          <w:sz w:val="22"/>
          <w:szCs w:val="22"/>
        </w:rPr>
        <w:t xml:space="preserve">They are much more consciously and deliberately </w:t>
      </w:r>
      <w:proofErr w:type="spellStart"/>
      <w:r w:rsidRPr="00311153">
        <w:rPr>
          <w:sz w:val="22"/>
          <w:szCs w:val="22"/>
        </w:rPr>
        <w:t>metamotivated</w:t>
      </w:r>
      <w:proofErr w:type="spellEnd"/>
      <w:r w:rsidRPr="00311153">
        <w:rPr>
          <w:sz w:val="22"/>
          <w:szCs w:val="22"/>
        </w:rPr>
        <w:t xml:space="preserve"> by the values of perfection, truth, beauty, goodness, unity, dichotomy-transcendence. </w:t>
      </w:r>
    </w:p>
    <w:p w:rsidR="00311153" w:rsidRPr="00311153" w:rsidRDefault="00311153" w:rsidP="00311153">
      <w:pPr>
        <w:pStyle w:val="ListParagraph"/>
        <w:numPr>
          <w:ilvl w:val="0"/>
          <w:numId w:val="1"/>
        </w:numPr>
        <w:spacing w:after="120"/>
        <w:ind w:left="720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 </w:t>
      </w:r>
      <w:r w:rsidRPr="00311153">
        <w:rPr>
          <w:sz w:val="22"/>
          <w:szCs w:val="22"/>
        </w:rPr>
        <w:t xml:space="preserve">They seem somehow to recognize each other, and to come to almost instant intimacy and mutual understanding even upon first meeting. </w:t>
      </w:r>
    </w:p>
    <w:p w:rsidR="00311153" w:rsidRPr="00311153" w:rsidRDefault="00311153" w:rsidP="00311153">
      <w:pPr>
        <w:pStyle w:val="ListParagraph"/>
        <w:numPr>
          <w:ilvl w:val="0"/>
          <w:numId w:val="1"/>
        </w:numPr>
        <w:spacing w:after="120"/>
        <w:ind w:left="720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 </w:t>
      </w:r>
      <w:r w:rsidRPr="00311153">
        <w:rPr>
          <w:sz w:val="22"/>
          <w:szCs w:val="22"/>
        </w:rPr>
        <w:t xml:space="preserve">They are </w:t>
      </w:r>
      <w:r w:rsidRPr="00311153">
        <w:rPr>
          <w:i/>
          <w:iCs/>
          <w:sz w:val="22"/>
          <w:szCs w:val="22"/>
        </w:rPr>
        <w:t>more</w:t>
      </w:r>
      <w:r w:rsidRPr="00311153">
        <w:rPr>
          <w:sz w:val="22"/>
          <w:szCs w:val="22"/>
        </w:rPr>
        <w:t xml:space="preserve"> responsive to beauty, or rather they tend to beautify all things. </w:t>
      </w:r>
    </w:p>
    <w:p w:rsidR="00311153" w:rsidRPr="00311153" w:rsidRDefault="00311153" w:rsidP="00311153">
      <w:pPr>
        <w:pStyle w:val="ListParagraph"/>
        <w:numPr>
          <w:ilvl w:val="0"/>
          <w:numId w:val="1"/>
        </w:numPr>
        <w:spacing w:after="120"/>
        <w:ind w:left="720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 </w:t>
      </w:r>
      <w:r w:rsidRPr="00311153">
        <w:rPr>
          <w:sz w:val="22"/>
          <w:szCs w:val="22"/>
        </w:rPr>
        <w:t xml:space="preserve">They are </w:t>
      </w:r>
      <w:r w:rsidRPr="00311153">
        <w:rPr>
          <w:i/>
          <w:iCs/>
          <w:sz w:val="22"/>
          <w:szCs w:val="22"/>
        </w:rPr>
        <w:t>more</w:t>
      </w:r>
      <w:r w:rsidRPr="00311153">
        <w:rPr>
          <w:sz w:val="22"/>
          <w:szCs w:val="22"/>
        </w:rPr>
        <w:t xml:space="preserve"> holistic about the world than are the practical self-actualizers (who are also holistic in this same sense). Mankind is one, and such limiting concepts as the “national interest” or “the religion of my </w:t>
      </w:r>
      <w:proofErr w:type="spellStart"/>
      <w:r w:rsidRPr="00311153">
        <w:rPr>
          <w:sz w:val="22"/>
          <w:szCs w:val="22"/>
        </w:rPr>
        <w:t>fathers</w:t>
      </w:r>
      <w:proofErr w:type="spellEnd"/>
      <w:r w:rsidRPr="00311153">
        <w:rPr>
          <w:sz w:val="22"/>
          <w:szCs w:val="22"/>
        </w:rPr>
        <w:t>” or “different grades of people or of IQ” either cease to exist or are easily transcended.</w:t>
      </w:r>
    </w:p>
    <w:p w:rsidR="00311153" w:rsidRPr="00311153" w:rsidRDefault="00311153" w:rsidP="00311153">
      <w:pPr>
        <w:pStyle w:val="ListParagraph"/>
        <w:numPr>
          <w:ilvl w:val="0"/>
          <w:numId w:val="1"/>
        </w:numPr>
        <w:spacing w:after="120"/>
        <w:ind w:left="720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8. </w:t>
      </w:r>
      <w:r w:rsidRPr="00311153">
        <w:rPr>
          <w:sz w:val="22"/>
          <w:szCs w:val="22"/>
        </w:rPr>
        <w:t>Overlapping this statement of holistic perceiving is a strengthening of the self-actualizer’s natural tendency to synergy—</w:t>
      </w:r>
      <w:proofErr w:type="spellStart"/>
      <w:r w:rsidRPr="00311153">
        <w:rPr>
          <w:sz w:val="22"/>
          <w:szCs w:val="22"/>
        </w:rPr>
        <w:t>intrapsychic</w:t>
      </w:r>
      <w:proofErr w:type="spellEnd"/>
      <w:r w:rsidRPr="00311153">
        <w:rPr>
          <w:sz w:val="22"/>
          <w:szCs w:val="22"/>
        </w:rPr>
        <w:t xml:space="preserve">, interpersonal, </w:t>
      </w:r>
      <w:proofErr w:type="spellStart"/>
      <w:r w:rsidRPr="00311153">
        <w:rPr>
          <w:sz w:val="22"/>
          <w:szCs w:val="22"/>
        </w:rPr>
        <w:t>intracultural</w:t>
      </w:r>
      <w:proofErr w:type="spellEnd"/>
      <w:r w:rsidRPr="00311153">
        <w:rPr>
          <w:sz w:val="22"/>
          <w:szCs w:val="22"/>
        </w:rPr>
        <w:t>.</w:t>
      </w:r>
    </w:p>
    <w:p w:rsidR="00311153" w:rsidRPr="00311153" w:rsidRDefault="00311153" w:rsidP="00311153">
      <w:pPr>
        <w:pStyle w:val="ListParagraph"/>
        <w:numPr>
          <w:ilvl w:val="0"/>
          <w:numId w:val="1"/>
        </w:numPr>
        <w:spacing w:after="120"/>
        <w:ind w:left="720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9. </w:t>
      </w:r>
      <w:r w:rsidRPr="00311153">
        <w:rPr>
          <w:sz w:val="22"/>
          <w:szCs w:val="22"/>
        </w:rPr>
        <w:t xml:space="preserve">They transcend the ego (the Self, the identity) more often and more easily. </w:t>
      </w:r>
    </w:p>
    <w:p w:rsidR="00311153" w:rsidRPr="00311153" w:rsidRDefault="00311153" w:rsidP="00311153">
      <w:pPr>
        <w:pStyle w:val="ListParagraph"/>
        <w:numPr>
          <w:ilvl w:val="0"/>
          <w:numId w:val="1"/>
        </w:numPr>
        <w:spacing w:after="120"/>
        <w:ind w:left="720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 </w:t>
      </w:r>
      <w:r w:rsidRPr="00311153">
        <w:rPr>
          <w:sz w:val="22"/>
          <w:szCs w:val="22"/>
        </w:rPr>
        <w:t>Not only are such people lovable, but they are also more awe-inspiring, more “u</w:t>
      </w:r>
      <w:r>
        <w:rPr>
          <w:sz w:val="22"/>
          <w:szCs w:val="22"/>
        </w:rPr>
        <w:t>nearthly”, more easily revered as</w:t>
      </w:r>
      <w:r w:rsidRPr="00311153">
        <w:rPr>
          <w:sz w:val="22"/>
          <w:szCs w:val="22"/>
        </w:rPr>
        <w:t xml:space="preserve"> a great man</w:t>
      </w:r>
      <w:r>
        <w:rPr>
          <w:sz w:val="22"/>
          <w:szCs w:val="22"/>
        </w:rPr>
        <w:t xml:space="preserve"> or a great woman.</w:t>
      </w:r>
    </w:p>
    <w:p w:rsidR="00311153" w:rsidRPr="00311153" w:rsidRDefault="00311153" w:rsidP="00311153">
      <w:pPr>
        <w:pStyle w:val="ListParagraph"/>
        <w:numPr>
          <w:ilvl w:val="0"/>
          <w:numId w:val="1"/>
        </w:numPr>
        <w:spacing w:after="120"/>
        <w:ind w:left="720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11. </w:t>
      </w:r>
      <w:proofErr w:type="spellStart"/>
      <w:r w:rsidRPr="00311153">
        <w:rPr>
          <w:sz w:val="22"/>
          <w:szCs w:val="22"/>
        </w:rPr>
        <w:t>Transcenders</w:t>
      </w:r>
      <w:proofErr w:type="spellEnd"/>
      <w:r w:rsidRPr="00311153">
        <w:rPr>
          <w:sz w:val="22"/>
          <w:szCs w:val="22"/>
        </w:rPr>
        <w:t xml:space="preserve"> are far more apt to be innovators, discovers of the new, of what actually </w:t>
      </w:r>
      <w:r w:rsidRPr="00311153">
        <w:rPr>
          <w:i/>
          <w:iCs/>
          <w:sz w:val="22"/>
          <w:szCs w:val="22"/>
        </w:rPr>
        <w:t>could</w:t>
      </w:r>
      <w:r w:rsidRPr="00311153">
        <w:rPr>
          <w:sz w:val="22"/>
          <w:szCs w:val="22"/>
        </w:rPr>
        <w:t xml:space="preserve"> be, what exists </w:t>
      </w:r>
      <w:r w:rsidRPr="00311153">
        <w:rPr>
          <w:i/>
          <w:iCs/>
          <w:sz w:val="22"/>
          <w:szCs w:val="22"/>
        </w:rPr>
        <w:t>in potential</w:t>
      </w:r>
      <w:r w:rsidRPr="00311153">
        <w:rPr>
          <w:sz w:val="22"/>
          <w:szCs w:val="22"/>
        </w:rPr>
        <w:t xml:space="preserve">. </w:t>
      </w:r>
    </w:p>
    <w:p w:rsidR="00311153" w:rsidRPr="00311153" w:rsidRDefault="00311153" w:rsidP="00311153">
      <w:pPr>
        <w:pStyle w:val="ListParagraph"/>
        <w:numPr>
          <w:ilvl w:val="0"/>
          <w:numId w:val="1"/>
        </w:numPr>
        <w:spacing w:after="120"/>
        <w:ind w:left="720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12. </w:t>
      </w:r>
      <w:r w:rsidRPr="00311153">
        <w:rPr>
          <w:sz w:val="22"/>
          <w:szCs w:val="22"/>
        </w:rPr>
        <w:t xml:space="preserve">They can be more ecstatic, more rapturous than the happy and healthy ones, yet maybe more prone to a kind of cosmic-sadness over the stupidity of people, their self-defeat, their blindness, their cruelty to each other, their shortsightedness. </w:t>
      </w:r>
    </w:p>
    <w:p w:rsidR="00311153" w:rsidRPr="00874144" w:rsidRDefault="00311153" w:rsidP="00311153">
      <w:pPr>
        <w:pStyle w:val="3text"/>
        <w:numPr>
          <w:ilvl w:val="0"/>
          <w:numId w:val="1"/>
        </w:numPr>
        <w:spacing w:before="0" w:beforeAutospacing="0" w:after="120" w:afterAutospacing="0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13. </w:t>
      </w:r>
      <w:proofErr w:type="spellStart"/>
      <w:r w:rsidRPr="00874144">
        <w:rPr>
          <w:sz w:val="22"/>
          <w:szCs w:val="22"/>
        </w:rPr>
        <w:t>Transcenders</w:t>
      </w:r>
      <w:proofErr w:type="spellEnd"/>
      <w:r w:rsidRPr="00874144">
        <w:rPr>
          <w:sz w:val="22"/>
          <w:szCs w:val="22"/>
        </w:rPr>
        <w:t xml:space="preserve"> can more easily live in both the Deficit and Being realms simultaneously than can the merely healthy self-actualizers because they can </w:t>
      </w:r>
      <w:proofErr w:type="spellStart"/>
      <w:r w:rsidRPr="00874144">
        <w:rPr>
          <w:sz w:val="22"/>
          <w:szCs w:val="22"/>
        </w:rPr>
        <w:t>sacralize</w:t>
      </w:r>
      <w:proofErr w:type="spellEnd"/>
      <w:r w:rsidRPr="00874144">
        <w:rPr>
          <w:sz w:val="22"/>
          <w:szCs w:val="22"/>
        </w:rPr>
        <w:t xml:space="preserve"> everybody so much more easily. The factually “superior” transcending self-actualizer acts always to the factually “inferior” person as to a brother, a member of the family who must be loved and cared for no matter what he does because he is after all a member of the family. </w:t>
      </w:r>
    </w:p>
    <w:p w:rsidR="00311153" w:rsidRPr="00311153" w:rsidRDefault="00311153" w:rsidP="00311153">
      <w:pPr>
        <w:pStyle w:val="ListParagraph"/>
        <w:numPr>
          <w:ilvl w:val="0"/>
          <w:numId w:val="1"/>
        </w:numPr>
        <w:spacing w:after="120"/>
        <w:ind w:left="720"/>
        <w:contextualSpacing w:val="0"/>
        <w:jc w:val="both"/>
        <w:rPr>
          <w:sz w:val="22"/>
          <w:szCs w:val="22"/>
        </w:rPr>
      </w:pPr>
      <w:r w:rsidRPr="00311153">
        <w:rPr>
          <w:sz w:val="22"/>
          <w:szCs w:val="22"/>
        </w:rPr>
        <w:t>14. Peak-</w:t>
      </w:r>
      <w:proofErr w:type="spellStart"/>
      <w:r w:rsidRPr="00311153">
        <w:rPr>
          <w:sz w:val="22"/>
          <w:szCs w:val="22"/>
        </w:rPr>
        <w:t>experiencers</w:t>
      </w:r>
      <w:proofErr w:type="spellEnd"/>
      <w:r w:rsidRPr="00311153">
        <w:rPr>
          <w:sz w:val="22"/>
          <w:szCs w:val="22"/>
        </w:rPr>
        <w:t xml:space="preserve"> and </w:t>
      </w:r>
      <w:proofErr w:type="spellStart"/>
      <w:r w:rsidRPr="00311153">
        <w:rPr>
          <w:sz w:val="22"/>
          <w:szCs w:val="22"/>
        </w:rPr>
        <w:t>transcenders</w:t>
      </w:r>
      <w:proofErr w:type="spellEnd"/>
      <w:r w:rsidRPr="00311153">
        <w:rPr>
          <w:sz w:val="22"/>
          <w:szCs w:val="22"/>
        </w:rPr>
        <w:t xml:space="preserve"> find mystery is </w:t>
      </w:r>
      <w:r w:rsidRPr="00311153">
        <w:rPr>
          <w:i/>
          <w:iCs/>
          <w:sz w:val="22"/>
          <w:szCs w:val="22"/>
        </w:rPr>
        <w:t>attractive</w:t>
      </w:r>
      <w:r w:rsidRPr="00311153">
        <w:rPr>
          <w:sz w:val="22"/>
          <w:szCs w:val="22"/>
        </w:rPr>
        <w:t xml:space="preserve"> and challenging rather than frightening. In contrast, most people pursue knowledge to lessen mystery and thereby reduce anxiety. The self-actualizer is apt to be bored by what is well known, however useful this knowledge may be, and encountering new knowledge to be awed before the tremendousness of </w:t>
      </w:r>
      <w:r w:rsidRPr="00311153">
        <w:rPr>
          <w:sz w:val="22"/>
          <w:szCs w:val="22"/>
        </w:rPr>
        <w:lastRenderedPageBreak/>
        <w:t>the universe. At the highest levels of development of humanness, knowledge leads to a sense of mystery, awe, humility, ultimate ignorance, and reverence.</w:t>
      </w:r>
    </w:p>
    <w:p w:rsidR="00311153" w:rsidRPr="00311153" w:rsidRDefault="00311153" w:rsidP="00311153">
      <w:pPr>
        <w:pStyle w:val="ListParagraph"/>
        <w:numPr>
          <w:ilvl w:val="0"/>
          <w:numId w:val="1"/>
        </w:numPr>
        <w:spacing w:after="120"/>
        <w:ind w:left="720"/>
        <w:contextualSpacing w:val="0"/>
        <w:jc w:val="both"/>
        <w:rPr>
          <w:sz w:val="22"/>
          <w:szCs w:val="22"/>
        </w:rPr>
      </w:pPr>
      <w:r w:rsidRPr="00311153">
        <w:rPr>
          <w:sz w:val="22"/>
          <w:szCs w:val="22"/>
        </w:rPr>
        <w:t xml:space="preserve">15. </w:t>
      </w:r>
      <w:proofErr w:type="spellStart"/>
      <w:r w:rsidRPr="00311153">
        <w:rPr>
          <w:sz w:val="22"/>
          <w:szCs w:val="22"/>
        </w:rPr>
        <w:t>Transcenders</w:t>
      </w:r>
      <w:proofErr w:type="spellEnd"/>
      <w:r w:rsidRPr="00311153">
        <w:rPr>
          <w:sz w:val="22"/>
          <w:szCs w:val="22"/>
        </w:rPr>
        <w:t xml:space="preserve"> are less afraid of “nuts” and “kooks”, and are also more able to screen out the apparent nuts and kooks who are </w:t>
      </w:r>
      <w:r w:rsidRPr="00311153">
        <w:rPr>
          <w:i/>
          <w:iCs/>
          <w:sz w:val="22"/>
          <w:szCs w:val="22"/>
        </w:rPr>
        <w:t>not</w:t>
      </w:r>
      <w:r w:rsidRPr="00311153">
        <w:rPr>
          <w:sz w:val="22"/>
          <w:szCs w:val="22"/>
        </w:rPr>
        <w:t xml:space="preserve"> creative contributors. </w:t>
      </w:r>
    </w:p>
    <w:p w:rsidR="00311153" w:rsidRPr="00311153" w:rsidRDefault="008F1655" w:rsidP="00311153">
      <w:pPr>
        <w:pStyle w:val="ListParagraph"/>
        <w:numPr>
          <w:ilvl w:val="0"/>
          <w:numId w:val="1"/>
        </w:numPr>
        <w:spacing w:after="120"/>
        <w:ind w:left="720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16. </w:t>
      </w:r>
      <w:proofErr w:type="spellStart"/>
      <w:r w:rsidR="00311153" w:rsidRPr="00311153">
        <w:rPr>
          <w:sz w:val="22"/>
          <w:szCs w:val="22"/>
        </w:rPr>
        <w:t>Transcenders</w:t>
      </w:r>
      <w:proofErr w:type="spellEnd"/>
      <w:r w:rsidR="00311153" w:rsidRPr="00311153">
        <w:rPr>
          <w:sz w:val="22"/>
          <w:szCs w:val="22"/>
        </w:rPr>
        <w:t xml:space="preserve"> tend to be more “reconciled with evil” in the sense of understanding its occasional inevitability and necessity in the larger holistic sense. Since this implies a better understanding of apparent evil, it generates </w:t>
      </w:r>
      <w:r w:rsidR="00311153" w:rsidRPr="00311153">
        <w:rPr>
          <w:i/>
          <w:iCs/>
          <w:sz w:val="22"/>
          <w:szCs w:val="22"/>
        </w:rPr>
        <w:t>both</w:t>
      </w:r>
      <w:r w:rsidR="00311153" w:rsidRPr="00311153">
        <w:rPr>
          <w:sz w:val="22"/>
          <w:szCs w:val="22"/>
        </w:rPr>
        <w:t xml:space="preserve"> a greater compassion with it </w:t>
      </w:r>
      <w:r w:rsidR="00311153" w:rsidRPr="00311153">
        <w:rPr>
          <w:i/>
          <w:iCs/>
          <w:sz w:val="22"/>
          <w:szCs w:val="22"/>
        </w:rPr>
        <w:t>and</w:t>
      </w:r>
      <w:r w:rsidR="00311153" w:rsidRPr="00311153">
        <w:rPr>
          <w:sz w:val="22"/>
          <w:szCs w:val="22"/>
        </w:rPr>
        <w:t xml:space="preserve"> a less ambivalent and more decisive, more unyielding fight against it. </w:t>
      </w:r>
    </w:p>
    <w:p w:rsidR="00311153" w:rsidRPr="00311153" w:rsidRDefault="00311153" w:rsidP="00311153">
      <w:pPr>
        <w:pStyle w:val="ListParagraph"/>
        <w:numPr>
          <w:ilvl w:val="0"/>
          <w:numId w:val="1"/>
        </w:numPr>
        <w:spacing w:after="120"/>
        <w:ind w:left="720"/>
        <w:contextualSpacing w:val="0"/>
        <w:jc w:val="both"/>
        <w:rPr>
          <w:sz w:val="22"/>
          <w:szCs w:val="22"/>
        </w:rPr>
      </w:pPr>
      <w:r w:rsidRPr="00311153">
        <w:rPr>
          <w:sz w:val="22"/>
          <w:szCs w:val="22"/>
        </w:rPr>
        <w:t xml:space="preserve">17. </w:t>
      </w:r>
      <w:proofErr w:type="spellStart"/>
      <w:r w:rsidRPr="00311153">
        <w:rPr>
          <w:sz w:val="22"/>
          <w:szCs w:val="22"/>
        </w:rPr>
        <w:t>Transcenders</w:t>
      </w:r>
      <w:proofErr w:type="spellEnd"/>
      <w:r w:rsidRPr="00311153">
        <w:rPr>
          <w:sz w:val="22"/>
          <w:szCs w:val="22"/>
        </w:rPr>
        <w:t xml:space="preserve"> are more apt to regard themselves as </w:t>
      </w:r>
      <w:r w:rsidRPr="00311153">
        <w:rPr>
          <w:i/>
          <w:iCs/>
          <w:sz w:val="22"/>
          <w:szCs w:val="22"/>
        </w:rPr>
        <w:t>carriers</w:t>
      </w:r>
      <w:r w:rsidRPr="00311153">
        <w:rPr>
          <w:sz w:val="22"/>
          <w:szCs w:val="22"/>
        </w:rPr>
        <w:t xml:space="preserve"> of talent, </w:t>
      </w:r>
      <w:r w:rsidRPr="00311153">
        <w:rPr>
          <w:i/>
          <w:iCs/>
          <w:sz w:val="22"/>
          <w:szCs w:val="22"/>
        </w:rPr>
        <w:t>instruments</w:t>
      </w:r>
      <w:r w:rsidRPr="00311153">
        <w:rPr>
          <w:sz w:val="22"/>
          <w:szCs w:val="22"/>
        </w:rPr>
        <w:t xml:space="preserve"> of the transpersonal, temporary custodians so to speak of a greater intelligence or skill or leadership or efficiency. This means a certain particular kind of objectivity or detachment toward themselves that to </w:t>
      </w:r>
      <w:proofErr w:type="spellStart"/>
      <w:r w:rsidRPr="00311153">
        <w:rPr>
          <w:sz w:val="22"/>
          <w:szCs w:val="22"/>
        </w:rPr>
        <w:t>nontranscenders</w:t>
      </w:r>
      <w:proofErr w:type="spellEnd"/>
      <w:r w:rsidRPr="00311153">
        <w:rPr>
          <w:sz w:val="22"/>
          <w:szCs w:val="22"/>
        </w:rPr>
        <w:t xml:space="preserve"> might sound like arrogance, grandiosity, or even paranoia. </w:t>
      </w:r>
      <w:r w:rsidR="008F1655">
        <w:rPr>
          <w:sz w:val="22"/>
          <w:szCs w:val="22"/>
        </w:rPr>
        <w:t>Transcendence brings with it a transpersonal</w:t>
      </w:r>
      <w:r w:rsidRPr="00311153">
        <w:rPr>
          <w:sz w:val="22"/>
          <w:szCs w:val="22"/>
        </w:rPr>
        <w:t xml:space="preserve"> loss of ego. </w:t>
      </w:r>
    </w:p>
    <w:p w:rsidR="00311153" w:rsidRPr="00311153" w:rsidRDefault="008F1655" w:rsidP="00311153">
      <w:pPr>
        <w:pStyle w:val="ListParagraph"/>
        <w:numPr>
          <w:ilvl w:val="0"/>
          <w:numId w:val="1"/>
        </w:numPr>
        <w:spacing w:after="120"/>
        <w:ind w:left="720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18. </w:t>
      </w:r>
      <w:proofErr w:type="spellStart"/>
      <w:r w:rsidR="00311153" w:rsidRPr="00311153">
        <w:rPr>
          <w:sz w:val="22"/>
          <w:szCs w:val="22"/>
        </w:rPr>
        <w:t>Transcenders</w:t>
      </w:r>
      <w:proofErr w:type="spellEnd"/>
      <w:r w:rsidR="00311153" w:rsidRPr="00311153">
        <w:rPr>
          <w:sz w:val="22"/>
          <w:szCs w:val="22"/>
        </w:rPr>
        <w:t xml:space="preserve"> are more apt to be profoundly “religious” or “spiritual” in either the theistic or </w:t>
      </w:r>
      <w:proofErr w:type="spellStart"/>
      <w:r w:rsidR="00311153" w:rsidRPr="00311153">
        <w:rPr>
          <w:sz w:val="22"/>
          <w:szCs w:val="22"/>
        </w:rPr>
        <w:t>nontheistic</w:t>
      </w:r>
      <w:proofErr w:type="spellEnd"/>
      <w:r w:rsidR="00311153" w:rsidRPr="00311153">
        <w:rPr>
          <w:sz w:val="22"/>
          <w:szCs w:val="22"/>
        </w:rPr>
        <w:t xml:space="preserve"> sense, excluding their historical, conventional, superstitious, institutional meanings.</w:t>
      </w:r>
    </w:p>
    <w:p w:rsidR="00311153" w:rsidRPr="00311153" w:rsidRDefault="008F1655" w:rsidP="00311153">
      <w:pPr>
        <w:pStyle w:val="ListParagraph"/>
        <w:numPr>
          <w:ilvl w:val="0"/>
          <w:numId w:val="1"/>
        </w:numPr>
        <w:spacing w:after="120"/>
        <w:ind w:left="720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19. </w:t>
      </w:r>
      <w:proofErr w:type="spellStart"/>
      <w:r w:rsidR="00311153" w:rsidRPr="00311153">
        <w:rPr>
          <w:sz w:val="22"/>
          <w:szCs w:val="22"/>
        </w:rPr>
        <w:t>Transcenders</w:t>
      </w:r>
      <w:proofErr w:type="spellEnd"/>
      <w:r w:rsidR="00311153" w:rsidRPr="00311153">
        <w:rPr>
          <w:sz w:val="22"/>
          <w:szCs w:val="22"/>
        </w:rPr>
        <w:t xml:space="preserve"> find it easier to transcend the ego, the self, the identity, i.e., to go beyond self-actualization. </w:t>
      </w:r>
      <w:proofErr w:type="spellStart"/>
      <w:r w:rsidR="00311153" w:rsidRPr="00311153">
        <w:rPr>
          <w:sz w:val="22"/>
          <w:szCs w:val="22"/>
        </w:rPr>
        <w:t>Nontranscending</w:t>
      </w:r>
      <w:proofErr w:type="spellEnd"/>
      <w:r w:rsidR="00311153" w:rsidRPr="00311153">
        <w:rPr>
          <w:sz w:val="22"/>
          <w:szCs w:val="22"/>
        </w:rPr>
        <w:t xml:space="preserve"> self-actualizers are </w:t>
      </w:r>
      <w:r w:rsidR="00311153" w:rsidRPr="00311153">
        <w:rPr>
          <w:iCs/>
          <w:sz w:val="22"/>
          <w:szCs w:val="22"/>
        </w:rPr>
        <w:t>primarily</w:t>
      </w:r>
      <w:r w:rsidR="00311153" w:rsidRPr="00311153">
        <w:rPr>
          <w:sz w:val="22"/>
          <w:szCs w:val="22"/>
        </w:rPr>
        <w:t xml:space="preserve"> strong identities, people who know who they are, where they are going, what they want, what they are good for, using themselves well and authentically and in accorda</w:t>
      </w:r>
      <w:r>
        <w:rPr>
          <w:sz w:val="22"/>
          <w:szCs w:val="22"/>
        </w:rPr>
        <w:t>nce with their own true nature.</w:t>
      </w:r>
    </w:p>
    <w:p w:rsidR="00311153" w:rsidRPr="00311153" w:rsidRDefault="008F1655" w:rsidP="00311153">
      <w:pPr>
        <w:pStyle w:val="ListParagraph"/>
        <w:numPr>
          <w:ilvl w:val="0"/>
          <w:numId w:val="1"/>
        </w:numPr>
        <w:spacing w:after="120"/>
        <w:ind w:left="720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20. </w:t>
      </w:r>
      <w:proofErr w:type="spellStart"/>
      <w:r w:rsidR="00311153" w:rsidRPr="00311153">
        <w:rPr>
          <w:sz w:val="22"/>
          <w:szCs w:val="22"/>
        </w:rPr>
        <w:t>Transcenders</w:t>
      </w:r>
      <w:proofErr w:type="spellEnd"/>
      <w:r w:rsidR="00311153" w:rsidRPr="00311153">
        <w:rPr>
          <w:sz w:val="22"/>
          <w:szCs w:val="22"/>
        </w:rPr>
        <w:t xml:space="preserve"> have more end experiences than their more practical brothers do, more of the fascinations that we see in children who get hypnotized by the colors in a puddle, or by raindrops dripping down a windowpane, or by the smoothness of skin, or the movements of a caterpillar. </w:t>
      </w:r>
    </w:p>
    <w:p w:rsidR="00311153" w:rsidRPr="00311153" w:rsidRDefault="008F1655" w:rsidP="00311153">
      <w:pPr>
        <w:pStyle w:val="ListParagraph"/>
        <w:numPr>
          <w:ilvl w:val="0"/>
          <w:numId w:val="1"/>
        </w:numPr>
        <w:spacing w:after="120"/>
        <w:ind w:left="720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21. </w:t>
      </w:r>
      <w:proofErr w:type="spellStart"/>
      <w:r w:rsidR="00311153" w:rsidRPr="00311153">
        <w:rPr>
          <w:sz w:val="22"/>
          <w:szCs w:val="22"/>
        </w:rPr>
        <w:t>Transcenders</w:t>
      </w:r>
      <w:proofErr w:type="spellEnd"/>
      <w:r w:rsidR="00311153" w:rsidRPr="00311153">
        <w:rPr>
          <w:sz w:val="22"/>
          <w:szCs w:val="22"/>
        </w:rPr>
        <w:t xml:space="preserve"> are somewhat more </w:t>
      </w:r>
      <w:proofErr w:type="spellStart"/>
      <w:r w:rsidR="00311153" w:rsidRPr="00311153">
        <w:rPr>
          <w:sz w:val="22"/>
          <w:szCs w:val="22"/>
        </w:rPr>
        <w:t>Taoistic</w:t>
      </w:r>
      <w:proofErr w:type="spellEnd"/>
      <w:r w:rsidR="00311153" w:rsidRPr="00311153">
        <w:rPr>
          <w:sz w:val="22"/>
          <w:szCs w:val="22"/>
        </w:rPr>
        <w:t xml:space="preserve">; everything look more miraculous, more perfect, just as it </w:t>
      </w:r>
      <w:r w:rsidR="00311153" w:rsidRPr="00311153">
        <w:rPr>
          <w:i/>
          <w:iCs/>
          <w:sz w:val="22"/>
          <w:szCs w:val="22"/>
        </w:rPr>
        <w:t>should</w:t>
      </w:r>
      <w:r w:rsidR="00311153" w:rsidRPr="00311153">
        <w:rPr>
          <w:sz w:val="22"/>
          <w:szCs w:val="22"/>
        </w:rPr>
        <w:t xml:space="preserve"> be. It therefore breeds less impulse to </w:t>
      </w:r>
      <w:r w:rsidR="00311153" w:rsidRPr="00311153">
        <w:rPr>
          <w:i/>
          <w:iCs/>
          <w:sz w:val="22"/>
          <w:szCs w:val="22"/>
        </w:rPr>
        <w:t>do</w:t>
      </w:r>
      <w:r w:rsidR="00311153" w:rsidRPr="00311153">
        <w:rPr>
          <w:sz w:val="22"/>
          <w:szCs w:val="22"/>
        </w:rPr>
        <w:t xml:space="preserve"> anything to the object that is fine just as it is, less needing improvement, or intruding upon. </w:t>
      </w:r>
    </w:p>
    <w:p w:rsidR="00311153" w:rsidRPr="00311153" w:rsidRDefault="008F1655" w:rsidP="00311153">
      <w:pPr>
        <w:pStyle w:val="ListParagraph"/>
        <w:numPr>
          <w:ilvl w:val="0"/>
          <w:numId w:val="1"/>
        </w:numPr>
        <w:spacing w:after="120"/>
        <w:ind w:left="720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22. </w:t>
      </w:r>
      <w:proofErr w:type="spellStart"/>
      <w:r>
        <w:rPr>
          <w:sz w:val="22"/>
          <w:szCs w:val="22"/>
        </w:rPr>
        <w:t>T</w:t>
      </w:r>
      <w:r w:rsidRPr="00311153">
        <w:rPr>
          <w:sz w:val="22"/>
          <w:szCs w:val="22"/>
        </w:rPr>
        <w:t>ranscenders</w:t>
      </w:r>
      <w:proofErr w:type="spellEnd"/>
      <w:r w:rsidRPr="00311153">
        <w:rPr>
          <w:sz w:val="22"/>
          <w:szCs w:val="22"/>
        </w:rPr>
        <w:t xml:space="preserve"> </w:t>
      </w:r>
      <w:r>
        <w:rPr>
          <w:sz w:val="22"/>
          <w:szCs w:val="22"/>
        </w:rPr>
        <w:t>tend to be “</w:t>
      </w:r>
      <w:proofErr w:type="spellStart"/>
      <w:r>
        <w:rPr>
          <w:sz w:val="22"/>
          <w:szCs w:val="22"/>
        </w:rPr>
        <w:t>Postambivalent</w:t>
      </w:r>
      <w:proofErr w:type="spellEnd"/>
      <w:r>
        <w:rPr>
          <w:sz w:val="22"/>
          <w:szCs w:val="22"/>
        </w:rPr>
        <w:t xml:space="preserve">”, filled with </w:t>
      </w:r>
      <w:r w:rsidR="00311153" w:rsidRPr="00311153">
        <w:rPr>
          <w:sz w:val="22"/>
          <w:szCs w:val="22"/>
        </w:rPr>
        <w:t xml:space="preserve">total wholehearted and </w:t>
      </w:r>
      <w:proofErr w:type="spellStart"/>
      <w:r w:rsidR="00311153" w:rsidRPr="00311153">
        <w:rPr>
          <w:sz w:val="22"/>
          <w:szCs w:val="22"/>
        </w:rPr>
        <w:t>unconflicted</w:t>
      </w:r>
      <w:proofErr w:type="spellEnd"/>
      <w:r w:rsidR="00311153" w:rsidRPr="00311153">
        <w:rPr>
          <w:sz w:val="22"/>
          <w:szCs w:val="22"/>
        </w:rPr>
        <w:t xml:space="preserve"> love, acceptance, expressiveness, rather than the more usual mixture of love and hate that passes for “love” or friendship or authority. </w:t>
      </w:r>
    </w:p>
    <w:p w:rsidR="00311153" w:rsidRPr="00311153" w:rsidRDefault="008F1655" w:rsidP="00311153">
      <w:pPr>
        <w:pStyle w:val="ListParagraph"/>
        <w:numPr>
          <w:ilvl w:val="0"/>
          <w:numId w:val="1"/>
        </w:numPr>
        <w:spacing w:after="120"/>
        <w:ind w:left="720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23. </w:t>
      </w:r>
      <w:r w:rsidR="00311153" w:rsidRPr="00311153">
        <w:rPr>
          <w:sz w:val="22"/>
          <w:szCs w:val="22"/>
        </w:rPr>
        <w:t xml:space="preserve">With increasing maturity of character, higher forms of reward and </w:t>
      </w:r>
      <w:proofErr w:type="spellStart"/>
      <w:r w:rsidR="00311153" w:rsidRPr="00311153">
        <w:rPr>
          <w:sz w:val="22"/>
          <w:szCs w:val="22"/>
        </w:rPr>
        <w:t>metareward</w:t>
      </w:r>
      <w:proofErr w:type="spellEnd"/>
      <w:r w:rsidR="00311153" w:rsidRPr="00311153">
        <w:rPr>
          <w:sz w:val="22"/>
          <w:szCs w:val="22"/>
        </w:rPr>
        <w:t xml:space="preserve"> other than money and acknowledgment steadily </w:t>
      </w:r>
      <w:r w:rsidR="00311153" w:rsidRPr="00311153">
        <w:rPr>
          <w:i/>
          <w:iCs/>
          <w:sz w:val="22"/>
          <w:szCs w:val="22"/>
        </w:rPr>
        <w:t>increase</w:t>
      </w:r>
      <w:r>
        <w:rPr>
          <w:sz w:val="22"/>
          <w:szCs w:val="22"/>
        </w:rPr>
        <w:t xml:space="preserve"> in importance</w:t>
      </w:r>
      <w:r w:rsidR="00311153" w:rsidRPr="00311153">
        <w:rPr>
          <w:sz w:val="22"/>
          <w:szCs w:val="22"/>
        </w:rPr>
        <w:t xml:space="preserve">. </w:t>
      </w:r>
    </w:p>
    <w:p w:rsidR="00311153" w:rsidRPr="00A76A87" w:rsidRDefault="00311153" w:rsidP="00311153">
      <w:pPr>
        <w:pStyle w:val="3text"/>
        <w:spacing w:before="0" w:beforeAutospacing="0" w:after="120" w:afterAutospacing="0"/>
        <w:ind w:left="720" w:firstLine="360"/>
        <w:jc w:val="both"/>
        <w:rPr>
          <w:sz w:val="22"/>
          <w:szCs w:val="22"/>
        </w:rPr>
      </w:pPr>
    </w:p>
    <w:p w:rsidR="00311153" w:rsidRPr="00A76A87" w:rsidRDefault="008F1655" w:rsidP="008F1655">
      <w:pPr>
        <w:spacing w:after="120"/>
        <w:ind w:left="360"/>
        <w:rPr>
          <w:sz w:val="22"/>
          <w:szCs w:val="22"/>
        </w:rPr>
      </w:pPr>
      <w:r w:rsidRPr="00A76A87">
        <w:rPr>
          <w:sz w:val="22"/>
          <w:szCs w:val="22"/>
        </w:rPr>
        <w:t>Comments</w:t>
      </w:r>
      <w:r w:rsidR="00E6406F" w:rsidRPr="00A76A87">
        <w:rPr>
          <w:sz w:val="22"/>
          <w:szCs w:val="22"/>
        </w:rPr>
        <w:t xml:space="preserve"> about my experience in taking this self-assessment</w:t>
      </w:r>
      <w:r w:rsidRPr="00A76A87">
        <w:rPr>
          <w:sz w:val="22"/>
          <w:szCs w:val="22"/>
        </w:rPr>
        <w:t>:</w:t>
      </w:r>
    </w:p>
    <w:p w:rsidR="00A76A87" w:rsidRPr="00A76A87" w:rsidRDefault="00A76A87" w:rsidP="008F1655">
      <w:pPr>
        <w:spacing w:after="120"/>
        <w:ind w:left="360"/>
        <w:rPr>
          <w:sz w:val="22"/>
          <w:szCs w:val="22"/>
        </w:rPr>
      </w:pPr>
    </w:p>
    <w:p w:rsidR="00A76A87" w:rsidRPr="00A76A87" w:rsidRDefault="00A76A87" w:rsidP="008F1655">
      <w:pPr>
        <w:spacing w:after="120"/>
        <w:ind w:left="360"/>
        <w:rPr>
          <w:sz w:val="22"/>
          <w:szCs w:val="22"/>
        </w:rPr>
      </w:pPr>
    </w:p>
    <w:p w:rsidR="00A76A87" w:rsidRPr="00A76A87" w:rsidRDefault="00A76A87" w:rsidP="008F1655">
      <w:pPr>
        <w:spacing w:after="120"/>
        <w:ind w:left="360"/>
        <w:rPr>
          <w:sz w:val="22"/>
          <w:szCs w:val="22"/>
        </w:rPr>
      </w:pPr>
    </w:p>
    <w:p w:rsidR="00A76A87" w:rsidRDefault="00A76A87" w:rsidP="008F1655">
      <w:pPr>
        <w:spacing w:after="120"/>
        <w:ind w:left="360"/>
        <w:rPr>
          <w:sz w:val="22"/>
          <w:szCs w:val="22"/>
        </w:rPr>
      </w:pPr>
    </w:p>
    <w:p w:rsidR="00AC438E" w:rsidRDefault="00AC438E" w:rsidP="008F1655">
      <w:pPr>
        <w:spacing w:after="120"/>
        <w:ind w:left="360"/>
        <w:rPr>
          <w:sz w:val="22"/>
          <w:szCs w:val="22"/>
        </w:rPr>
      </w:pPr>
    </w:p>
    <w:p w:rsidR="00AC438E" w:rsidRPr="00A76A87" w:rsidRDefault="00AC438E" w:rsidP="008F1655">
      <w:pPr>
        <w:spacing w:after="120"/>
        <w:ind w:left="360"/>
        <w:rPr>
          <w:sz w:val="22"/>
          <w:szCs w:val="22"/>
        </w:rPr>
      </w:pPr>
    </w:p>
    <w:sectPr w:rsidR="00AC438E" w:rsidRPr="00A76A87" w:rsidSect="00A76A87">
      <w:footerReference w:type="default" r:id="rId8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17F0" w:rsidRDefault="005E17F0" w:rsidP="008F1655">
      <w:r>
        <w:separator/>
      </w:r>
    </w:p>
  </w:endnote>
  <w:endnote w:type="continuationSeparator" w:id="0">
    <w:p w:rsidR="005E17F0" w:rsidRDefault="005E17F0" w:rsidP="008F1655">
      <w:r>
        <w:continuationSeparator/>
      </w:r>
    </w:p>
  </w:endnote>
  <w:endnote w:id="1">
    <w:p w:rsidR="00AC438E" w:rsidRPr="00AC438E" w:rsidRDefault="00A76A87" w:rsidP="00AC438E">
      <w:pPr>
        <w:autoSpaceDE w:val="0"/>
        <w:autoSpaceDN w:val="0"/>
        <w:adjustRightInd w:val="0"/>
        <w:ind w:left="360" w:hanging="360"/>
        <w:jc w:val="both"/>
        <w:rPr>
          <w:sz w:val="20"/>
          <w:szCs w:val="20"/>
        </w:rPr>
      </w:pPr>
      <w:r w:rsidRPr="00A76A87">
        <w:rPr>
          <w:rStyle w:val="EndnoteReference"/>
          <w:sz w:val="20"/>
          <w:szCs w:val="20"/>
        </w:rPr>
        <w:endnoteRef/>
      </w:r>
      <w:r w:rsidR="00AC438E">
        <w:rPr>
          <w:sz w:val="20"/>
          <w:szCs w:val="20"/>
        </w:rPr>
        <w:t xml:space="preserve"> Maslow, A. H. (1971</w:t>
      </w:r>
      <w:r w:rsidR="00AC438E" w:rsidRPr="00AC438E">
        <w:rPr>
          <w:sz w:val="20"/>
          <w:szCs w:val="20"/>
        </w:rPr>
        <w:t xml:space="preserve">). Theory Z. In A. H. Maslow, </w:t>
      </w:r>
      <w:r w:rsidR="00AC438E" w:rsidRPr="00AC438E">
        <w:rPr>
          <w:i/>
          <w:sz w:val="20"/>
          <w:szCs w:val="20"/>
        </w:rPr>
        <w:t>The Farther Reaches of Human Nature</w:t>
      </w:r>
      <w:r w:rsidR="00AC438E" w:rsidRPr="00AC438E">
        <w:rPr>
          <w:sz w:val="20"/>
          <w:szCs w:val="20"/>
        </w:rPr>
        <w:t>, 270-286. New York: Penguin Books.</w:t>
      </w:r>
    </w:p>
    <w:p w:rsidR="00A76A87" w:rsidRPr="00A76A87" w:rsidRDefault="00A76A87" w:rsidP="00A76A87">
      <w:pPr>
        <w:autoSpaceDE w:val="0"/>
        <w:autoSpaceDN w:val="0"/>
        <w:adjustRightInd w:val="0"/>
        <w:ind w:left="360" w:hanging="360"/>
        <w:jc w:val="both"/>
        <w:rPr>
          <w:sz w:val="20"/>
          <w:szCs w:val="20"/>
        </w:rPr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ZapfDingbats BT">
    <w:panose1 w:val="05020102010704020609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655" w:rsidRPr="0007719E" w:rsidRDefault="008F1655" w:rsidP="008F1655">
    <w:pPr>
      <w:jc w:val="center"/>
    </w:pPr>
    <w:r>
      <w:rPr>
        <w:rFonts w:ascii="Baskerville Old Face" w:hAnsi="Baskerville Old Face"/>
        <w:noProof/>
        <w:sz w:val="32"/>
        <w:szCs w:val="32"/>
      </w:rPr>
      <w:drawing>
        <wp:inline distT="0" distB="0" distL="0" distR="0">
          <wp:extent cx="1381125" cy="419100"/>
          <wp:effectExtent l="19050" t="0" r="9525" b="0"/>
          <wp:docPr id="1" name="Picture 1" descr="WI Horizontal logo (Converted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I Horizontal logo (Converted)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419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F1655" w:rsidRPr="008F1655" w:rsidRDefault="008F1655" w:rsidP="008F1655">
    <w:pPr>
      <w:ind w:left="-360" w:right="-360"/>
      <w:jc w:val="center"/>
      <w:rPr>
        <w:sz w:val="20"/>
        <w:szCs w:val="20"/>
      </w:rPr>
    </w:pPr>
    <w:r w:rsidRPr="008F1655">
      <w:rPr>
        <w:sz w:val="20"/>
        <w:szCs w:val="20"/>
      </w:rPr>
      <w:t xml:space="preserve">3716 274th Avenue SE   </w:t>
    </w:r>
    <w:r w:rsidRPr="008F1655">
      <w:rPr>
        <w:rFonts w:ascii="ZapfDingbats BT" w:hAnsi="ZapfDingbats BT"/>
        <w:sz w:val="16"/>
        <w:szCs w:val="16"/>
      </w:rPr>
      <w:t></w:t>
    </w:r>
    <w:r w:rsidRPr="008F1655">
      <w:rPr>
        <w:sz w:val="20"/>
        <w:szCs w:val="20"/>
      </w:rPr>
      <w:t xml:space="preserve">   </w:t>
    </w:r>
    <w:smartTag w:uri="urn:schemas-microsoft-com:office:smarttags" w:element="place">
      <w:smartTag w:uri="urn:schemas-microsoft-com:office:smarttags" w:element="City">
        <w:r w:rsidRPr="008F1655">
          <w:rPr>
            <w:sz w:val="20"/>
            <w:szCs w:val="20"/>
          </w:rPr>
          <w:t>Issaquah</w:t>
        </w:r>
      </w:smartTag>
      <w:r w:rsidRPr="008F1655">
        <w:rPr>
          <w:sz w:val="20"/>
          <w:szCs w:val="20"/>
        </w:rPr>
        <w:t xml:space="preserve">, </w:t>
      </w:r>
      <w:smartTag w:uri="urn:schemas-microsoft-com:office:smarttags" w:element="State">
        <w:r w:rsidRPr="008F1655">
          <w:rPr>
            <w:sz w:val="20"/>
            <w:szCs w:val="20"/>
          </w:rPr>
          <w:t>WA</w:t>
        </w:r>
      </w:smartTag>
      <w:r w:rsidRPr="008F1655">
        <w:rPr>
          <w:sz w:val="20"/>
          <w:szCs w:val="20"/>
        </w:rPr>
        <w:t xml:space="preserve"> </w:t>
      </w:r>
      <w:smartTag w:uri="urn:schemas-microsoft-com:office:smarttags" w:element="PostalCode">
        <w:r w:rsidRPr="008F1655">
          <w:rPr>
            <w:sz w:val="20"/>
            <w:szCs w:val="20"/>
          </w:rPr>
          <w:t>98029</w:t>
        </w:r>
      </w:smartTag>
    </w:smartTag>
    <w:r w:rsidRPr="008F1655">
      <w:rPr>
        <w:sz w:val="20"/>
        <w:szCs w:val="20"/>
      </w:rPr>
      <w:t xml:space="preserve">   </w:t>
    </w:r>
    <w:r w:rsidRPr="008F1655">
      <w:rPr>
        <w:rFonts w:ascii="ZapfDingbats BT" w:hAnsi="ZapfDingbats BT"/>
        <w:sz w:val="16"/>
        <w:szCs w:val="16"/>
      </w:rPr>
      <w:t></w:t>
    </w:r>
    <w:r w:rsidRPr="008F1655">
      <w:rPr>
        <w:sz w:val="20"/>
        <w:szCs w:val="20"/>
      </w:rPr>
      <w:t xml:space="preserve">   1-800-326-4418   </w:t>
    </w:r>
    <w:r w:rsidRPr="008F1655">
      <w:rPr>
        <w:rFonts w:ascii="ZapfDingbats BT" w:hAnsi="ZapfDingbats BT"/>
        <w:sz w:val="16"/>
        <w:szCs w:val="16"/>
      </w:rPr>
      <w:t></w:t>
    </w:r>
    <w:r w:rsidRPr="008F1655">
      <w:rPr>
        <w:rFonts w:ascii="ZapfDingbats BT" w:hAnsi="ZapfDingbats BT"/>
        <w:sz w:val="20"/>
        <w:szCs w:val="20"/>
      </w:rPr>
      <w:t></w:t>
    </w:r>
    <w:r w:rsidRPr="008F1655">
      <w:rPr>
        <w:rFonts w:ascii="ZapfDingbats BT" w:hAnsi="ZapfDingbats BT"/>
        <w:sz w:val="20"/>
        <w:szCs w:val="20"/>
      </w:rPr>
      <w:t></w:t>
    </w:r>
    <w:r w:rsidRPr="008F1655">
      <w:rPr>
        <w:rFonts w:ascii="ZapfDingbats BT" w:hAnsi="ZapfDingbats BT"/>
        <w:sz w:val="20"/>
        <w:szCs w:val="20"/>
      </w:rPr>
      <w:t></w:t>
    </w:r>
    <w:r w:rsidRPr="008F1655">
      <w:rPr>
        <w:sz w:val="20"/>
        <w:szCs w:val="20"/>
      </w:rPr>
      <w:t>www.wellness-institute.org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17F0" w:rsidRDefault="005E17F0" w:rsidP="008F1655">
      <w:r>
        <w:separator/>
      </w:r>
    </w:p>
  </w:footnote>
  <w:footnote w:type="continuationSeparator" w:id="0">
    <w:p w:rsidR="005E17F0" w:rsidRDefault="005E17F0" w:rsidP="008F16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01A79"/>
    <w:multiLevelType w:val="hybridMultilevel"/>
    <w:tmpl w:val="9A3A25EC"/>
    <w:lvl w:ilvl="0" w:tplc="41F60324">
      <w:start w:val="1"/>
      <w:numFmt w:val="bullet"/>
      <w:lvlText w:val=""/>
      <w:lvlJc w:val="left"/>
      <w:pPr>
        <w:ind w:left="1080" w:hanging="360"/>
      </w:pPr>
      <w:rPr>
        <w:rFonts w:ascii="ZapfDingbats BT" w:hAnsi="ZapfDingbats BT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882334F"/>
    <w:multiLevelType w:val="hybridMultilevel"/>
    <w:tmpl w:val="40D805D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1153"/>
    <w:rsid w:val="00311153"/>
    <w:rsid w:val="005E17F0"/>
    <w:rsid w:val="006505D8"/>
    <w:rsid w:val="008F1655"/>
    <w:rsid w:val="00A76A87"/>
    <w:rsid w:val="00AC438E"/>
    <w:rsid w:val="00E64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11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text">
    <w:name w:val="3text"/>
    <w:basedOn w:val="Normal"/>
    <w:rsid w:val="00311153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31115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F16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F165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8F16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F1655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16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1655"/>
    <w:rPr>
      <w:rFonts w:ascii="Tahoma" w:eastAsia="Times New Roman" w:hAnsi="Tahoma" w:cs="Tahoma"/>
      <w:sz w:val="16"/>
      <w:szCs w:val="16"/>
    </w:rPr>
  </w:style>
  <w:style w:type="character" w:styleId="EndnoteReference">
    <w:name w:val="endnote reference"/>
    <w:basedOn w:val="DefaultParagraphFont"/>
    <w:semiHidden/>
    <w:rsid w:val="00A76A87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76A87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76A87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372C0C-EAE2-4355-BCAC-33F125A18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858</Words>
  <Characters>4894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Hartman</dc:creator>
  <cp:lastModifiedBy>David Hartman</cp:lastModifiedBy>
  <cp:revision>2</cp:revision>
  <cp:lastPrinted>2016-03-30T13:52:00Z</cp:lastPrinted>
  <dcterms:created xsi:type="dcterms:W3CDTF">2016-03-30T13:28:00Z</dcterms:created>
  <dcterms:modified xsi:type="dcterms:W3CDTF">2016-03-30T14:03:00Z</dcterms:modified>
</cp:coreProperties>
</file>