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2455" w14:textId="7229095B" w:rsidR="00867495" w:rsidRPr="00867495" w:rsidRDefault="00867495" w:rsidP="00867495">
      <w:pPr>
        <w:spacing w:before="240" w:after="240"/>
        <w:jc w:val="center"/>
        <w:rPr>
          <w:szCs w:val="24"/>
          <w:u w:val="single"/>
        </w:rPr>
      </w:pPr>
      <w:r w:rsidRPr="00867495">
        <w:rPr>
          <w:szCs w:val="24"/>
          <w:u w:val="single"/>
        </w:rPr>
        <w:t>22 State Religious Freedom Restoration Acts</w:t>
      </w:r>
    </w:p>
    <w:p w14:paraId="0270A254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Alabama (</w:t>
      </w:r>
      <w:r>
        <w:rPr>
          <w:color w:val="333333"/>
          <w:sz w:val="23"/>
          <w:szCs w:val="23"/>
          <w:highlight w:val="white"/>
        </w:rPr>
        <w:t>Ala. Const. Art. I, §3.01)</w:t>
      </w:r>
    </w:p>
    <w:p w14:paraId="36103500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Arizona (</w:t>
      </w:r>
      <w:r>
        <w:rPr>
          <w:color w:val="333333"/>
          <w:sz w:val="23"/>
          <w:szCs w:val="23"/>
          <w:highlight w:val="white"/>
        </w:rPr>
        <w:t>Ariz. Rev. Stat. §41-1493.01)</w:t>
      </w:r>
    </w:p>
    <w:p w14:paraId="26CE1B98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 xml:space="preserve">Arkansas (Ark. Gen. Stat. </w:t>
      </w:r>
      <w:r>
        <w:rPr>
          <w:color w:val="333333"/>
          <w:sz w:val="23"/>
          <w:szCs w:val="23"/>
          <w:highlight w:val="white"/>
        </w:rPr>
        <w:t xml:space="preserve">§16-123-401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4C05517D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Connecticut (</w:t>
      </w:r>
      <w:r>
        <w:rPr>
          <w:color w:val="333333"/>
          <w:sz w:val="23"/>
          <w:szCs w:val="23"/>
          <w:highlight w:val="white"/>
        </w:rPr>
        <w:t>Conn. Gen. Stat. §52-571b)</w:t>
      </w:r>
    </w:p>
    <w:p w14:paraId="0313F5E4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Florida (</w:t>
      </w:r>
      <w:r>
        <w:rPr>
          <w:color w:val="333333"/>
          <w:sz w:val="23"/>
          <w:szCs w:val="23"/>
          <w:highlight w:val="white"/>
        </w:rPr>
        <w:t xml:space="preserve">Fla. Stat. §761.01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2FCCD843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Idaho (</w:t>
      </w:r>
      <w:r>
        <w:rPr>
          <w:color w:val="333333"/>
          <w:sz w:val="23"/>
          <w:szCs w:val="23"/>
          <w:highlight w:val="white"/>
        </w:rPr>
        <w:t>Idaho Code §73-402)</w:t>
      </w:r>
    </w:p>
    <w:p w14:paraId="6091512A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Illinois (</w:t>
      </w:r>
      <w:proofErr w:type="spellStart"/>
      <w:r>
        <w:rPr>
          <w:color w:val="333333"/>
          <w:sz w:val="23"/>
          <w:szCs w:val="23"/>
          <w:highlight w:val="white"/>
        </w:rPr>
        <w:t>lll</w:t>
      </w:r>
      <w:proofErr w:type="spellEnd"/>
      <w:r>
        <w:rPr>
          <w:color w:val="333333"/>
          <w:sz w:val="23"/>
          <w:szCs w:val="23"/>
          <w:highlight w:val="white"/>
        </w:rPr>
        <w:t xml:space="preserve">. Rev. Stat. Ch. 775, §35/1,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41E3AC66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Indiana (</w:t>
      </w:r>
      <w:r>
        <w:rPr>
          <w:sz w:val="23"/>
          <w:szCs w:val="23"/>
          <w:highlight w:val="white"/>
        </w:rPr>
        <w:t xml:space="preserve">Ind. Code </w:t>
      </w:r>
      <w:r>
        <w:rPr>
          <w:color w:val="333333"/>
          <w:sz w:val="23"/>
          <w:szCs w:val="23"/>
          <w:highlight w:val="white"/>
        </w:rPr>
        <w:t>§</w:t>
      </w:r>
      <w:r>
        <w:rPr>
          <w:sz w:val="23"/>
          <w:szCs w:val="23"/>
          <w:highlight w:val="white"/>
        </w:rPr>
        <w:t>1. IC 34-13-9)</w:t>
      </w:r>
    </w:p>
    <w:p w14:paraId="56598D5C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Kansas (</w:t>
      </w:r>
      <w:r>
        <w:rPr>
          <w:color w:val="333333"/>
          <w:sz w:val="23"/>
          <w:szCs w:val="23"/>
          <w:highlight w:val="white"/>
        </w:rPr>
        <w:t xml:space="preserve">Kan. Stat. §60-5301,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4490E720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Kentucky (</w:t>
      </w:r>
      <w:r>
        <w:rPr>
          <w:color w:val="333333"/>
          <w:sz w:val="23"/>
          <w:szCs w:val="23"/>
          <w:highlight w:val="white"/>
        </w:rPr>
        <w:t>Ky. Rev. Stat. §446.350)</w:t>
      </w:r>
    </w:p>
    <w:p w14:paraId="05FF9543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Louisiana (</w:t>
      </w:r>
      <w:r>
        <w:rPr>
          <w:color w:val="333333"/>
          <w:sz w:val="23"/>
          <w:szCs w:val="23"/>
        </w:rPr>
        <w:t xml:space="preserve">La. Rev. Stat. §13:5231, </w:t>
      </w:r>
      <w:r>
        <w:rPr>
          <w:i/>
          <w:color w:val="333333"/>
          <w:sz w:val="23"/>
          <w:szCs w:val="23"/>
        </w:rPr>
        <w:t>et seq.</w:t>
      </w:r>
      <w:r>
        <w:rPr>
          <w:color w:val="333333"/>
          <w:sz w:val="23"/>
          <w:szCs w:val="23"/>
        </w:rPr>
        <w:t>)</w:t>
      </w:r>
    </w:p>
    <w:p w14:paraId="390DEEA0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Mississippi (</w:t>
      </w:r>
      <w:r>
        <w:rPr>
          <w:color w:val="333333"/>
          <w:sz w:val="23"/>
          <w:szCs w:val="23"/>
          <w:highlight w:val="white"/>
        </w:rPr>
        <w:t>Miss. Code §11-61-1)</w:t>
      </w:r>
    </w:p>
    <w:p w14:paraId="66884E4F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Missouri (</w:t>
      </w:r>
      <w:r>
        <w:rPr>
          <w:color w:val="333333"/>
          <w:sz w:val="23"/>
          <w:szCs w:val="23"/>
          <w:highlight w:val="white"/>
        </w:rPr>
        <w:t>Mo. Rev. Stat. §1.302)</w:t>
      </w:r>
    </w:p>
    <w:p w14:paraId="163112E7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New Mexico (</w:t>
      </w:r>
      <w:r>
        <w:rPr>
          <w:color w:val="333333"/>
          <w:sz w:val="23"/>
          <w:szCs w:val="23"/>
          <w:highlight w:val="white"/>
        </w:rPr>
        <w:t xml:space="preserve">N.M. Stat. §28-22-1,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73AEF877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Oklahoma (</w:t>
      </w:r>
      <w:r>
        <w:rPr>
          <w:color w:val="333333"/>
          <w:sz w:val="23"/>
          <w:szCs w:val="23"/>
          <w:highlight w:val="white"/>
        </w:rPr>
        <w:t xml:space="preserve">Okla. Stat. tit. 51, §251,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1A7ED130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Pennsylvania (</w:t>
      </w:r>
      <w:r>
        <w:rPr>
          <w:color w:val="333333"/>
          <w:sz w:val="23"/>
          <w:szCs w:val="23"/>
          <w:highlight w:val="white"/>
        </w:rPr>
        <w:t>Pa. Stat. tit. 71, §2403)</w:t>
      </w:r>
    </w:p>
    <w:p w14:paraId="0E2BDDE8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Rhode Island (</w:t>
      </w:r>
      <w:r>
        <w:rPr>
          <w:color w:val="333333"/>
          <w:sz w:val="23"/>
          <w:szCs w:val="23"/>
          <w:highlight w:val="white"/>
        </w:rPr>
        <w:t>R.I. Gen. Laws §42-80.1-1</w:t>
      </w:r>
      <w:r>
        <w:rPr>
          <w:color w:val="333333"/>
          <w:sz w:val="21"/>
          <w:szCs w:val="21"/>
          <w:highlight w:val="white"/>
        </w:rPr>
        <w:t xml:space="preserve">, </w:t>
      </w:r>
      <w:r>
        <w:rPr>
          <w:i/>
          <w:color w:val="333333"/>
          <w:sz w:val="21"/>
          <w:szCs w:val="21"/>
          <w:highlight w:val="white"/>
        </w:rPr>
        <w:t>et seq.</w:t>
      </w:r>
      <w:r>
        <w:rPr>
          <w:color w:val="333333"/>
          <w:sz w:val="21"/>
          <w:szCs w:val="21"/>
          <w:highlight w:val="white"/>
        </w:rPr>
        <w:t>)</w:t>
      </w:r>
    </w:p>
    <w:p w14:paraId="43ECBAFD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South Carolina (</w:t>
      </w:r>
      <w:r>
        <w:rPr>
          <w:color w:val="333333"/>
          <w:sz w:val="23"/>
          <w:szCs w:val="23"/>
          <w:highlight w:val="white"/>
        </w:rPr>
        <w:t xml:space="preserve">S.C. Code §1-32-10, </w:t>
      </w:r>
      <w:r>
        <w:rPr>
          <w:i/>
          <w:color w:val="333333"/>
          <w:sz w:val="23"/>
          <w:szCs w:val="23"/>
          <w:highlight w:val="white"/>
        </w:rPr>
        <w:t>et seq.</w:t>
      </w:r>
      <w:r>
        <w:rPr>
          <w:color w:val="333333"/>
          <w:sz w:val="23"/>
          <w:szCs w:val="23"/>
          <w:highlight w:val="white"/>
        </w:rPr>
        <w:t>)</w:t>
      </w:r>
    </w:p>
    <w:p w14:paraId="6BCE4E1B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Tennessee (</w:t>
      </w:r>
      <w:r>
        <w:rPr>
          <w:color w:val="333333"/>
          <w:sz w:val="23"/>
          <w:szCs w:val="23"/>
          <w:highlight w:val="white"/>
        </w:rPr>
        <w:t>Tenn. Code §4-1-407)</w:t>
      </w:r>
    </w:p>
    <w:p w14:paraId="6497459C" w14:textId="77777777" w:rsidR="00867495" w:rsidRDefault="00867495" w:rsidP="00867495">
      <w:pPr>
        <w:numPr>
          <w:ilvl w:val="0"/>
          <w:numId w:val="20"/>
        </w:numPr>
        <w:spacing w:line="276" w:lineRule="auto"/>
      </w:pPr>
      <w:r>
        <w:t>Texas (</w:t>
      </w:r>
      <w:r>
        <w:rPr>
          <w:color w:val="333333"/>
          <w:sz w:val="23"/>
          <w:szCs w:val="23"/>
          <w:highlight w:val="white"/>
        </w:rPr>
        <w:t xml:space="preserve">Tex. Civ. </w:t>
      </w:r>
      <w:proofErr w:type="spellStart"/>
      <w:r>
        <w:rPr>
          <w:color w:val="333333"/>
          <w:sz w:val="23"/>
          <w:szCs w:val="23"/>
          <w:highlight w:val="white"/>
        </w:rPr>
        <w:t>Prac</w:t>
      </w:r>
      <w:proofErr w:type="spellEnd"/>
      <w:r>
        <w:rPr>
          <w:color w:val="333333"/>
          <w:sz w:val="23"/>
          <w:szCs w:val="23"/>
          <w:highlight w:val="white"/>
        </w:rPr>
        <w:t>. &amp; Remedies Code §110.001</w:t>
      </w:r>
      <w:r>
        <w:rPr>
          <w:color w:val="333333"/>
          <w:sz w:val="21"/>
          <w:szCs w:val="21"/>
          <w:highlight w:val="white"/>
        </w:rPr>
        <w:t xml:space="preserve">, </w:t>
      </w:r>
      <w:r>
        <w:rPr>
          <w:i/>
          <w:color w:val="333333"/>
          <w:sz w:val="21"/>
          <w:szCs w:val="21"/>
          <w:highlight w:val="white"/>
        </w:rPr>
        <w:t>et seq.</w:t>
      </w:r>
      <w:r>
        <w:rPr>
          <w:color w:val="333333"/>
          <w:sz w:val="21"/>
          <w:szCs w:val="21"/>
          <w:highlight w:val="white"/>
        </w:rPr>
        <w:t>)</w:t>
      </w:r>
    </w:p>
    <w:p w14:paraId="35B1D47F" w14:textId="1A1613CA" w:rsidR="00B34CDE" w:rsidRDefault="00867495" w:rsidP="00B34CDE">
      <w:pPr>
        <w:numPr>
          <w:ilvl w:val="0"/>
          <w:numId w:val="20"/>
        </w:numPr>
        <w:spacing w:line="276" w:lineRule="auto"/>
      </w:pPr>
      <w:r>
        <w:t>Virginia (</w:t>
      </w:r>
      <w:r>
        <w:rPr>
          <w:color w:val="333333"/>
          <w:sz w:val="23"/>
          <w:szCs w:val="23"/>
          <w:highlight w:val="white"/>
        </w:rPr>
        <w:t>Va. Code §57-2.02)</w:t>
      </w:r>
    </w:p>
    <w:p w14:paraId="5C01F8BC" w14:textId="46F5FCD1" w:rsidR="00B34CDE" w:rsidRDefault="00B34CDE" w:rsidP="00B34CDE">
      <w:pPr>
        <w:numPr>
          <w:ilvl w:val="0"/>
          <w:numId w:val="20"/>
        </w:numPr>
        <w:spacing w:line="276" w:lineRule="auto"/>
      </w:pPr>
      <w:r>
        <w:t>District of Columbia (</w:t>
      </w:r>
      <w:r w:rsidRPr="00B34CDE">
        <w:t>42 U.S.C. § 2000bb,</w:t>
      </w:r>
      <w:r>
        <w:t xml:space="preserve"> </w:t>
      </w:r>
      <w:r>
        <w:rPr>
          <w:i/>
          <w:color w:val="333333"/>
          <w:sz w:val="21"/>
          <w:szCs w:val="21"/>
          <w:highlight w:val="white"/>
        </w:rPr>
        <w:t>et seq.</w:t>
      </w:r>
      <w:r>
        <w:rPr>
          <w:color w:val="333333"/>
          <w:sz w:val="21"/>
          <w:szCs w:val="21"/>
          <w:highlight w:val="white"/>
        </w:rPr>
        <w:t>)</w:t>
      </w:r>
    </w:p>
    <w:p w14:paraId="1C32C0D0" w14:textId="77777777" w:rsidR="00867495" w:rsidRDefault="00867495" w:rsidP="00867495">
      <w:pPr>
        <w:rPr>
          <w:color w:val="333333"/>
          <w:sz w:val="23"/>
          <w:szCs w:val="23"/>
          <w:highlight w:val="white"/>
        </w:rPr>
      </w:pPr>
    </w:p>
    <w:p w14:paraId="621BAF4C" w14:textId="77777777" w:rsidR="00867495" w:rsidRPr="00867495" w:rsidRDefault="00867495" w:rsidP="00867495">
      <w:pPr>
        <w:spacing w:before="240" w:after="240"/>
        <w:jc w:val="center"/>
        <w:rPr>
          <w:color w:val="333333"/>
          <w:szCs w:val="24"/>
          <w:highlight w:val="white"/>
          <w:u w:val="single"/>
        </w:rPr>
      </w:pPr>
      <w:r w:rsidRPr="00867495">
        <w:rPr>
          <w:color w:val="333333"/>
          <w:szCs w:val="24"/>
          <w:highlight w:val="white"/>
          <w:u w:val="single"/>
        </w:rPr>
        <w:t>RFRA-like Provisions through State Court Decisions</w:t>
      </w:r>
    </w:p>
    <w:p w14:paraId="5B20E3BE" w14:textId="77777777" w:rsidR="00867495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Alaska</w:t>
      </w:r>
    </w:p>
    <w:p w14:paraId="17CDCC30" w14:textId="77777777" w:rsidR="00867495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Maine</w:t>
      </w:r>
    </w:p>
    <w:p w14:paraId="4D1F10F3" w14:textId="27B1B7F7" w:rsidR="00867495" w:rsidRPr="00F35859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Massachusetts</w:t>
      </w:r>
    </w:p>
    <w:p w14:paraId="67EB36B3" w14:textId="2D11BF69" w:rsidR="00F35859" w:rsidRDefault="00F35859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Michigan</w:t>
      </w:r>
    </w:p>
    <w:p w14:paraId="3BDA0701" w14:textId="77777777" w:rsidR="00867495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Minnesota</w:t>
      </w:r>
    </w:p>
    <w:p w14:paraId="364B8B34" w14:textId="1CE8DD7D" w:rsidR="00867495" w:rsidRPr="00F35859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Montana</w:t>
      </w:r>
    </w:p>
    <w:p w14:paraId="2C85BCAF" w14:textId="3E27A646" w:rsidR="00F35859" w:rsidRDefault="00F35859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North Carolina</w:t>
      </w:r>
    </w:p>
    <w:p w14:paraId="0B281B91" w14:textId="77777777" w:rsidR="00867495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Ohio</w:t>
      </w:r>
    </w:p>
    <w:p w14:paraId="1CB63CB4" w14:textId="77777777" w:rsidR="00867495" w:rsidRDefault="00867495" w:rsidP="00867495">
      <w:pPr>
        <w:numPr>
          <w:ilvl w:val="0"/>
          <w:numId w:val="19"/>
        </w:numPr>
        <w:spacing w:line="276" w:lineRule="auto"/>
        <w:rPr>
          <w:color w:val="333333"/>
          <w:sz w:val="23"/>
          <w:szCs w:val="23"/>
          <w:highlight w:val="white"/>
        </w:rPr>
      </w:pPr>
      <w:r>
        <w:rPr>
          <w:color w:val="333333"/>
          <w:szCs w:val="24"/>
          <w:highlight w:val="white"/>
        </w:rPr>
        <w:t>Washington</w:t>
      </w:r>
    </w:p>
    <w:p w14:paraId="02DB0B3D" w14:textId="3393BAF0" w:rsidR="00EE2189" w:rsidRDefault="00867495" w:rsidP="000E36D2">
      <w:pPr>
        <w:numPr>
          <w:ilvl w:val="0"/>
          <w:numId w:val="19"/>
        </w:numPr>
        <w:spacing w:after="240" w:line="276" w:lineRule="auto"/>
        <w:rPr>
          <w:color w:val="333333"/>
          <w:szCs w:val="24"/>
          <w:highlight w:val="white"/>
        </w:rPr>
      </w:pPr>
      <w:r>
        <w:rPr>
          <w:color w:val="333333"/>
          <w:szCs w:val="24"/>
          <w:highlight w:val="white"/>
        </w:rPr>
        <w:t>Wisconsin</w:t>
      </w:r>
    </w:p>
    <w:p w14:paraId="48F30656" w14:textId="3FB04D5D" w:rsidR="00EE2189" w:rsidRPr="00EE2189" w:rsidRDefault="00EE2189" w:rsidP="00EE2189">
      <w:pPr>
        <w:rPr>
          <w:color w:val="333333"/>
          <w:szCs w:val="24"/>
          <w:highlight w:val="white"/>
        </w:rPr>
      </w:pPr>
      <w:r>
        <w:rPr>
          <w:color w:val="333333"/>
          <w:szCs w:val="24"/>
          <w:highlight w:val="white"/>
        </w:rPr>
        <w:br w:type="page"/>
      </w:r>
      <w:r>
        <w:rPr>
          <w:noProof/>
          <w:color w:val="333333"/>
          <w:szCs w:val="24"/>
        </w:rPr>
        <w:lastRenderedPageBreak/>
        <w:drawing>
          <wp:inline distT="0" distB="0" distL="0" distR="0" wp14:anchorId="6994CB77" wp14:editId="152CC90C">
            <wp:extent cx="6002767" cy="3601660"/>
            <wp:effectExtent l="0" t="0" r="4445" b="571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813" cy="361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89" w:rsidRPr="00EE2189" w:rsidSect="00683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3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9E82" w14:textId="77777777" w:rsidR="00AA16B8" w:rsidRDefault="00AA16B8">
      <w:r>
        <w:separator/>
      </w:r>
    </w:p>
  </w:endnote>
  <w:endnote w:type="continuationSeparator" w:id="0">
    <w:p w14:paraId="47D44FF4" w14:textId="77777777" w:rsidR="00AA16B8" w:rsidRDefault="00AA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ekton Pro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133C" w14:textId="77777777" w:rsidR="00DC4C2D" w:rsidRDefault="00DC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3A1E" w14:textId="77777777" w:rsidR="0068369C" w:rsidRDefault="0068369C">
    <w:pPr>
      <w:pStyle w:val="Footer"/>
      <w:jc w:val="center"/>
      <w:rPr>
        <w:rFonts w:ascii="Century Schoolbook" w:hAnsi="Century Schoolbook"/>
        <w:b/>
        <w:color w:val="052C64"/>
        <w:sz w:val="20"/>
      </w:rPr>
    </w:pPr>
  </w:p>
  <w:p w14:paraId="6D858256" w14:textId="77777777" w:rsidR="0068369C" w:rsidRDefault="0068369C" w:rsidP="0068369C">
    <w:pPr>
      <w:pStyle w:val="Footer"/>
      <w:jc w:val="center"/>
      <w:rPr>
        <w:rFonts w:ascii="Century Schoolbook" w:hAnsi="Century Schoolbook"/>
        <w:b/>
        <w:color w:val="052C64"/>
        <w:sz w:val="20"/>
      </w:rPr>
    </w:pPr>
    <w:r w:rsidRPr="0068369C">
      <w:rPr>
        <w:rFonts w:ascii="Century Schoolbook" w:hAnsi="Century Schoolbook"/>
        <w:b/>
        <w:color w:val="052C64"/>
        <w:sz w:val="20"/>
      </w:rPr>
      <w:t xml:space="preserve"> </w:t>
    </w:r>
  </w:p>
  <w:p w14:paraId="35E61DBF" w14:textId="77777777" w:rsidR="0068369C" w:rsidRDefault="0068369C" w:rsidP="0068369C">
    <w:pPr>
      <w:pStyle w:val="Footer"/>
      <w:jc w:val="center"/>
      <w:rPr>
        <w:rFonts w:ascii="Century Schoolbook" w:hAnsi="Century Schoolbook"/>
        <w:b/>
        <w:color w:val="052C64"/>
        <w:sz w:val="20"/>
      </w:rPr>
    </w:pPr>
    <w:r w:rsidRPr="00CB5E29">
      <w:rPr>
        <w:rFonts w:ascii="Century Schoolbook" w:hAnsi="Century Schoolbook"/>
        <w:b/>
        <w:color w:val="052C64"/>
        <w:sz w:val="20"/>
      </w:rPr>
      <w:t>www.childusa.org</w:t>
    </w:r>
  </w:p>
  <w:p w14:paraId="580FEFA4" w14:textId="77777777" w:rsidR="0068369C" w:rsidRPr="00CB5E29" w:rsidRDefault="0068369C">
    <w:pPr>
      <w:pStyle w:val="Footer"/>
      <w:jc w:val="center"/>
      <w:rPr>
        <w:rFonts w:ascii="Century Schoolbook" w:hAnsi="Century Schoolbook"/>
        <w:b/>
        <w:color w:val="052C64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35CB" w14:textId="77777777" w:rsidR="0081451C" w:rsidRDefault="0081451C" w:rsidP="00F920E5">
    <w:pPr>
      <w:widowControl w:val="0"/>
      <w:autoSpaceDE w:val="0"/>
      <w:autoSpaceDN w:val="0"/>
      <w:adjustRightInd w:val="0"/>
      <w:jc w:val="right"/>
      <w:rPr>
        <w:rFonts w:ascii="Century Schoolbook" w:hAnsi="Century Schoolbook"/>
        <w:b/>
        <w:sz w:val="20"/>
      </w:rPr>
    </w:pPr>
    <w:r w:rsidRPr="00993A48">
      <w:rPr>
        <w:rFonts w:ascii="Century Schoolbook" w:hAnsi="Century Schoolbook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389D050" wp14:editId="79095238">
          <wp:simplePos x="0" y="0"/>
          <wp:positionH relativeFrom="column">
            <wp:posOffset>-62865</wp:posOffset>
          </wp:positionH>
          <wp:positionV relativeFrom="paragraph">
            <wp:posOffset>3810</wp:posOffset>
          </wp:positionV>
          <wp:extent cx="666750" cy="6375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 USA Ic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/>
        <w:sz w:val="20"/>
      </w:rPr>
      <w:t xml:space="preserve">  </w:t>
    </w:r>
  </w:p>
  <w:p w14:paraId="6E8689CE" w14:textId="04016160" w:rsidR="0081451C" w:rsidRPr="008724B9" w:rsidRDefault="0081451C" w:rsidP="00F920E5">
    <w:pPr>
      <w:widowControl w:val="0"/>
      <w:autoSpaceDE w:val="0"/>
      <w:autoSpaceDN w:val="0"/>
      <w:adjustRightInd w:val="0"/>
      <w:jc w:val="right"/>
      <w:rPr>
        <w:rFonts w:ascii="Century Schoolbook" w:hAnsi="Century Schoolbook"/>
        <w:sz w:val="20"/>
      </w:rPr>
    </w:pPr>
    <w:r>
      <w:rPr>
        <w:rFonts w:ascii="Century Schoolbook" w:hAnsi="Century Schoolbook"/>
        <w:b/>
        <w:sz w:val="20"/>
      </w:rPr>
      <w:t xml:space="preserve">   </w:t>
    </w:r>
    <w:hyperlink r:id="rId2" w:history="1">
      <w:r w:rsidRPr="00A50A04">
        <w:rPr>
          <w:rStyle w:val="Hyperlink"/>
          <w:rFonts w:ascii="Century Schoolbook" w:hAnsi="Century Schoolbook"/>
          <w:b/>
          <w:sz w:val="20"/>
        </w:rPr>
        <w:t>WWW.CHILDUSA.ORG</w:t>
      </w:r>
    </w:hyperlink>
    <w:r>
      <w:rPr>
        <w:rFonts w:ascii="Century Schoolbook" w:hAnsi="Century Schoolbook"/>
        <w:b/>
        <w:sz w:val="20"/>
      </w:rPr>
      <w:t xml:space="preserve"> </w:t>
    </w:r>
    <w:r w:rsidRPr="008724B9">
      <w:rPr>
        <w:rFonts w:ascii="Century Schoolbook" w:hAnsi="Century Schoolbook"/>
        <w:b/>
        <w:sz w:val="20"/>
      </w:rPr>
      <w:t xml:space="preserve">| </w:t>
    </w:r>
    <w:r w:rsidRPr="008724B9">
      <w:rPr>
        <w:rFonts w:ascii="Century Schoolbook" w:hAnsi="Century Schoolbook"/>
        <w:sz w:val="20"/>
      </w:rPr>
      <w:t>3</w:t>
    </w:r>
    <w:r w:rsidR="00D6655B">
      <w:rPr>
        <w:rFonts w:ascii="Century Schoolbook" w:hAnsi="Century Schoolbook"/>
        <w:sz w:val="20"/>
      </w:rPr>
      <w:t>508</w:t>
    </w:r>
    <w:r w:rsidRPr="008724B9">
      <w:rPr>
        <w:rFonts w:ascii="Century Schoolbook" w:hAnsi="Century Schoolbook"/>
        <w:sz w:val="20"/>
      </w:rPr>
      <w:t xml:space="preserve"> </w:t>
    </w:r>
    <w:r w:rsidR="00DC4C2D">
      <w:rPr>
        <w:rFonts w:ascii="Century Schoolbook" w:hAnsi="Century Schoolbook"/>
        <w:sz w:val="20"/>
      </w:rPr>
      <w:t>Market</w:t>
    </w:r>
    <w:r w:rsidRPr="008724B9">
      <w:rPr>
        <w:rFonts w:ascii="Century Schoolbook" w:hAnsi="Century Schoolbook"/>
        <w:sz w:val="20"/>
      </w:rPr>
      <w:t xml:space="preserve"> Street, </w:t>
    </w:r>
    <w:r w:rsidR="00D6655B">
      <w:rPr>
        <w:rFonts w:ascii="Century Schoolbook" w:hAnsi="Century Schoolbook"/>
        <w:sz w:val="20"/>
      </w:rPr>
      <w:t>Suite 202</w:t>
    </w:r>
    <w:r w:rsidRPr="008724B9">
      <w:rPr>
        <w:rFonts w:ascii="Century Schoolbook" w:hAnsi="Century Schoolbook"/>
        <w:sz w:val="20"/>
      </w:rPr>
      <w:t xml:space="preserve"> | Philadelphia, PA 19104 </w:t>
    </w:r>
  </w:p>
  <w:p w14:paraId="3A61949B" w14:textId="77777777" w:rsidR="0081451C" w:rsidRPr="008724B9" w:rsidRDefault="00AA16B8" w:rsidP="00F920E5">
    <w:pPr>
      <w:widowControl w:val="0"/>
      <w:autoSpaceDE w:val="0"/>
      <w:autoSpaceDN w:val="0"/>
      <w:adjustRightInd w:val="0"/>
      <w:jc w:val="right"/>
      <w:rPr>
        <w:rFonts w:ascii="Century Schoolbook" w:hAnsi="Century Schoolbook"/>
        <w:sz w:val="20"/>
      </w:rPr>
    </w:pPr>
    <w:hyperlink r:id="rId3" w:history="1">
      <w:r w:rsidR="0081451C" w:rsidRPr="008724B9">
        <w:rPr>
          <w:rStyle w:val="Hyperlink"/>
          <w:rFonts w:ascii="Century Schoolbook" w:hAnsi="Century Schoolbook"/>
          <w:sz w:val="20"/>
        </w:rPr>
        <w:t>info@childusa.org</w:t>
      </w:r>
    </w:hyperlink>
    <w:r w:rsidR="0081451C" w:rsidRPr="008724B9">
      <w:rPr>
        <w:rFonts w:ascii="Century Schoolbook" w:hAnsi="Century Schoolbook"/>
        <w:sz w:val="20"/>
      </w:rPr>
      <w:t xml:space="preserve"> | 215.539.1906 </w:t>
    </w:r>
  </w:p>
  <w:p w14:paraId="4C8EC005" w14:textId="77777777" w:rsidR="0081451C" w:rsidRPr="00F920E5" w:rsidRDefault="0081451C" w:rsidP="007A2278">
    <w:pPr>
      <w:widowControl w:val="0"/>
      <w:autoSpaceDE w:val="0"/>
      <w:autoSpaceDN w:val="0"/>
      <w:adjustRightInd w:val="0"/>
      <w:spacing w:line="360" w:lineRule="auto"/>
      <w:rPr>
        <w:rFonts w:ascii="Century Schoolbook" w:hAnsi="Century Schoolboo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582F" w14:textId="77777777" w:rsidR="00AA16B8" w:rsidRDefault="00AA16B8">
      <w:r>
        <w:separator/>
      </w:r>
    </w:p>
  </w:footnote>
  <w:footnote w:type="continuationSeparator" w:id="0">
    <w:p w14:paraId="26161113" w14:textId="77777777" w:rsidR="00AA16B8" w:rsidRDefault="00AA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E87" w14:textId="77777777" w:rsidR="00DC4C2D" w:rsidRDefault="00DC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D071" w14:textId="77777777" w:rsidR="0081451C" w:rsidRPr="00CB5E29" w:rsidRDefault="0081451C">
    <w:pPr>
      <w:pStyle w:val="Header"/>
      <w:jc w:val="center"/>
      <w:rPr>
        <w:rFonts w:ascii="Century Schoolbook" w:hAnsi="Century Schoolbook"/>
        <w:b/>
        <w:color w:val="052C6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987" w14:textId="148CCE5E" w:rsidR="0081451C" w:rsidRDefault="00E859DE" w:rsidP="007A2278">
    <w:pPr>
      <w:pStyle w:val="Header"/>
      <w:jc w:val="center"/>
    </w:pPr>
    <w:r>
      <w:rPr>
        <w:noProof/>
      </w:rPr>
      <w:drawing>
        <wp:inline distT="0" distB="0" distL="0" distR="0" wp14:anchorId="78D5B593" wp14:editId="18BC9458">
          <wp:extent cx="4064000" cy="888348"/>
          <wp:effectExtent l="0" t="0" r="0" b="127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 image-082D1D11937A-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6260" cy="92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AE485" w14:textId="77777777" w:rsidR="0081451C" w:rsidRPr="00150972" w:rsidRDefault="0081451C" w:rsidP="00200B68">
    <w:pPr>
      <w:pStyle w:val="Header"/>
      <w:rPr>
        <w:rFonts w:ascii="Baskerville Old Face" w:hAnsi="Baskerville Old Face"/>
        <w:color w:val="1F3864" w:themeColor="accent5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1BF3E3D"/>
    <w:multiLevelType w:val="hybridMultilevel"/>
    <w:tmpl w:val="4DEA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1CD"/>
    <w:multiLevelType w:val="hybridMultilevel"/>
    <w:tmpl w:val="6A4EC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361B"/>
    <w:multiLevelType w:val="hybridMultilevel"/>
    <w:tmpl w:val="602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0C9B"/>
    <w:multiLevelType w:val="hybridMultilevel"/>
    <w:tmpl w:val="AA46E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412"/>
    <w:multiLevelType w:val="hybridMultilevel"/>
    <w:tmpl w:val="5A6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38F2"/>
    <w:multiLevelType w:val="hybridMultilevel"/>
    <w:tmpl w:val="7230F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2044"/>
    <w:multiLevelType w:val="hybridMultilevel"/>
    <w:tmpl w:val="08B0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49F"/>
    <w:multiLevelType w:val="hybridMultilevel"/>
    <w:tmpl w:val="9F145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769"/>
    <w:multiLevelType w:val="hybridMultilevel"/>
    <w:tmpl w:val="775EF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C22D0"/>
    <w:multiLevelType w:val="hybridMultilevel"/>
    <w:tmpl w:val="6E2C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DFA"/>
    <w:multiLevelType w:val="hybridMultilevel"/>
    <w:tmpl w:val="D3C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25CA"/>
    <w:multiLevelType w:val="hybridMultilevel"/>
    <w:tmpl w:val="D28E3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47DA"/>
    <w:multiLevelType w:val="hybridMultilevel"/>
    <w:tmpl w:val="6C68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1425"/>
    <w:multiLevelType w:val="hybridMultilevel"/>
    <w:tmpl w:val="0CAEE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90C90"/>
    <w:multiLevelType w:val="multilevel"/>
    <w:tmpl w:val="69765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A20B86"/>
    <w:multiLevelType w:val="hybridMultilevel"/>
    <w:tmpl w:val="BCFC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7279D"/>
    <w:multiLevelType w:val="multilevel"/>
    <w:tmpl w:val="B93CE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F11B32"/>
    <w:multiLevelType w:val="hybridMultilevel"/>
    <w:tmpl w:val="4156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8E8"/>
    <w:multiLevelType w:val="hybridMultilevel"/>
    <w:tmpl w:val="AC3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0"/>
    <w:rsid w:val="00051814"/>
    <w:rsid w:val="00053324"/>
    <w:rsid w:val="00067E21"/>
    <w:rsid w:val="00092D8B"/>
    <w:rsid w:val="000A4777"/>
    <w:rsid w:val="000E0EA8"/>
    <w:rsid w:val="000E36D2"/>
    <w:rsid w:val="00100E7B"/>
    <w:rsid w:val="00104A19"/>
    <w:rsid w:val="00150972"/>
    <w:rsid w:val="001711ED"/>
    <w:rsid w:val="0019514B"/>
    <w:rsid w:val="00200B68"/>
    <w:rsid w:val="0022593D"/>
    <w:rsid w:val="00231FED"/>
    <w:rsid w:val="00240C7B"/>
    <w:rsid w:val="002514EC"/>
    <w:rsid w:val="00263D74"/>
    <w:rsid w:val="00286CCE"/>
    <w:rsid w:val="002971A9"/>
    <w:rsid w:val="002A4092"/>
    <w:rsid w:val="002C08EE"/>
    <w:rsid w:val="002D69B5"/>
    <w:rsid w:val="002F2982"/>
    <w:rsid w:val="003050A9"/>
    <w:rsid w:val="00325093"/>
    <w:rsid w:val="00325D4A"/>
    <w:rsid w:val="00343C3A"/>
    <w:rsid w:val="00354412"/>
    <w:rsid w:val="003629C2"/>
    <w:rsid w:val="00366E9F"/>
    <w:rsid w:val="003A0E5E"/>
    <w:rsid w:val="003B2A66"/>
    <w:rsid w:val="003D03C7"/>
    <w:rsid w:val="003E697C"/>
    <w:rsid w:val="003F6490"/>
    <w:rsid w:val="003F7762"/>
    <w:rsid w:val="0040335F"/>
    <w:rsid w:val="004231A5"/>
    <w:rsid w:val="00423850"/>
    <w:rsid w:val="00482542"/>
    <w:rsid w:val="004D30F9"/>
    <w:rsid w:val="004D317C"/>
    <w:rsid w:val="00527CF7"/>
    <w:rsid w:val="00565BD8"/>
    <w:rsid w:val="00595BA2"/>
    <w:rsid w:val="005F055E"/>
    <w:rsid w:val="00642157"/>
    <w:rsid w:val="00666ED7"/>
    <w:rsid w:val="00666F7D"/>
    <w:rsid w:val="0067182E"/>
    <w:rsid w:val="00676391"/>
    <w:rsid w:val="0068369C"/>
    <w:rsid w:val="00685DB1"/>
    <w:rsid w:val="006B3290"/>
    <w:rsid w:val="006F0F3F"/>
    <w:rsid w:val="006F6852"/>
    <w:rsid w:val="00735883"/>
    <w:rsid w:val="007A2278"/>
    <w:rsid w:val="007D450D"/>
    <w:rsid w:val="007D555F"/>
    <w:rsid w:val="007F2E6E"/>
    <w:rsid w:val="00801A11"/>
    <w:rsid w:val="00810A80"/>
    <w:rsid w:val="008115E0"/>
    <w:rsid w:val="0081451C"/>
    <w:rsid w:val="00860CEF"/>
    <w:rsid w:val="00867495"/>
    <w:rsid w:val="008724B9"/>
    <w:rsid w:val="00883B2F"/>
    <w:rsid w:val="00893457"/>
    <w:rsid w:val="008A095F"/>
    <w:rsid w:val="008C4083"/>
    <w:rsid w:val="008D4F78"/>
    <w:rsid w:val="00940201"/>
    <w:rsid w:val="009728D3"/>
    <w:rsid w:val="00973679"/>
    <w:rsid w:val="00993A48"/>
    <w:rsid w:val="00996BCE"/>
    <w:rsid w:val="009A0C40"/>
    <w:rsid w:val="009B43CC"/>
    <w:rsid w:val="009D093B"/>
    <w:rsid w:val="009F5E6A"/>
    <w:rsid w:val="00A353DB"/>
    <w:rsid w:val="00A45DB9"/>
    <w:rsid w:val="00A8394C"/>
    <w:rsid w:val="00AA16B8"/>
    <w:rsid w:val="00AA7C07"/>
    <w:rsid w:val="00AB6E59"/>
    <w:rsid w:val="00AC32B2"/>
    <w:rsid w:val="00B20E65"/>
    <w:rsid w:val="00B34CDE"/>
    <w:rsid w:val="00B36935"/>
    <w:rsid w:val="00B419CB"/>
    <w:rsid w:val="00B70203"/>
    <w:rsid w:val="00B87348"/>
    <w:rsid w:val="00BB2D12"/>
    <w:rsid w:val="00BC0470"/>
    <w:rsid w:val="00BC26AA"/>
    <w:rsid w:val="00BD294E"/>
    <w:rsid w:val="00BD37C2"/>
    <w:rsid w:val="00BF747A"/>
    <w:rsid w:val="00C37EAA"/>
    <w:rsid w:val="00C46EBB"/>
    <w:rsid w:val="00C5629B"/>
    <w:rsid w:val="00C77E84"/>
    <w:rsid w:val="00C83976"/>
    <w:rsid w:val="00C967AC"/>
    <w:rsid w:val="00CA15AB"/>
    <w:rsid w:val="00CB5E29"/>
    <w:rsid w:val="00CC0912"/>
    <w:rsid w:val="00CE4A44"/>
    <w:rsid w:val="00D06D6D"/>
    <w:rsid w:val="00D13119"/>
    <w:rsid w:val="00D349D1"/>
    <w:rsid w:val="00D52158"/>
    <w:rsid w:val="00D6655B"/>
    <w:rsid w:val="00D72FA4"/>
    <w:rsid w:val="00D749E9"/>
    <w:rsid w:val="00DC4C2D"/>
    <w:rsid w:val="00DC6718"/>
    <w:rsid w:val="00DC79F0"/>
    <w:rsid w:val="00DF473D"/>
    <w:rsid w:val="00DF4F17"/>
    <w:rsid w:val="00DF7A3D"/>
    <w:rsid w:val="00E264A2"/>
    <w:rsid w:val="00E468EE"/>
    <w:rsid w:val="00E6578C"/>
    <w:rsid w:val="00E859DE"/>
    <w:rsid w:val="00EA115F"/>
    <w:rsid w:val="00EC524C"/>
    <w:rsid w:val="00ED0DE3"/>
    <w:rsid w:val="00EE2189"/>
    <w:rsid w:val="00F35859"/>
    <w:rsid w:val="00F41D16"/>
    <w:rsid w:val="00F52C01"/>
    <w:rsid w:val="00F63896"/>
    <w:rsid w:val="00F729C4"/>
    <w:rsid w:val="00F82648"/>
    <w:rsid w:val="00F91B1B"/>
    <w:rsid w:val="00F920E5"/>
    <w:rsid w:val="00FB098C"/>
    <w:rsid w:val="00FB52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DB993"/>
  <w15:docId w15:val="{6686C59B-474E-4E8D-97B2-6E9A18E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93D"/>
    <w:rPr>
      <w:sz w:val="24"/>
    </w:rPr>
  </w:style>
  <w:style w:type="paragraph" w:styleId="Heading1">
    <w:name w:val="heading 1"/>
    <w:basedOn w:val="Normal"/>
    <w:next w:val="Normal"/>
    <w:qFormat/>
    <w:rsid w:val="0022593D"/>
    <w:pPr>
      <w:keepNext/>
      <w:tabs>
        <w:tab w:val="left" w:pos="1680"/>
      </w:tabs>
      <w:spacing w:line="260" w:lineRule="exact"/>
      <w:outlineLvl w:val="0"/>
    </w:pPr>
    <w:rPr>
      <w:rFonts w:ascii="Tekton Pro Bold" w:hAnsi="Tekton Pro Bold"/>
      <w:i/>
      <w:kern w:val="6"/>
      <w:sz w:val="22"/>
    </w:rPr>
  </w:style>
  <w:style w:type="paragraph" w:styleId="Heading2">
    <w:name w:val="heading 2"/>
    <w:basedOn w:val="Normal"/>
    <w:next w:val="Normal"/>
    <w:qFormat/>
    <w:rsid w:val="0022593D"/>
    <w:pPr>
      <w:keepNext/>
      <w:tabs>
        <w:tab w:val="center" w:pos="4320"/>
        <w:tab w:val="left" w:pos="6940"/>
      </w:tabs>
      <w:outlineLvl w:val="1"/>
    </w:pPr>
    <w:rPr>
      <w:rFonts w:ascii="Helvetica" w:hAnsi="Helvetica"/>
      <w:b/>
      <w:color w:val="CCCC99"/>
      <w:kern w:val="2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593D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2593D"/>
    <w:pPr>
      <w:spacing w:after="180" w:line="240" w:lineRule="exact"/>
    </w:pPr>
    <w:rPr>
      <w:rFonts w:ascii="Verdana" w:hAnsi="Verdana"/>
      <w:sz w:val="18"/>
    </w:rPr>
  </w:style>
  <w:style w:type="paragraph" w:customStyle="1" w:styleId="RecipientAddress">
    <w:name w:val="Recipient Address"/>
    <w:basedOn w:val="Normal"/>
    <w:rsid w:val="0022593D"/>
    <w:pPr>
      <w:spacing w:line="240" w:lineRule="exact"/>
    </w:pPr>
    <w:rPr>
      <w:rFonts w:ascii="Verdana" w:hAnsi="Verdana"/>
      <w:sz w:val="18"/>
    </w:rPr>
  </w:style>
  <w:style w:type="paragraph" w:customStyle="1" w:styleId="BodyText1">
    <w:name w:val="Body Text1"/>
    <w:basedOn w:val="Normal"/>
    <w:rsid w:val="0022593D"/>
    <w:pPr>
      <w:spacing w:line="280" w:lineRule="exact"/>
    </w:pPr>
    <w:rPr>
      <w:sz w:val="20"/>
    </w:rPr>
  </w:style>
  <w:style w:type="character" w:styleId="CommentReference">
    <w:name w:val="annotation reference"/>
    <w:basedOn w:val="DefaultParagraphFont"/>
    <w:rsid w:val="0022593D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514EC"/>
    <w:pPr>
      <w:keepLines/>
      <w:tabs>
        <w:tab w:val="clear" w:pos="1680"/>
      </w:tabs>
      <w:spacing w:before="240" w:line="259" w:lineRule="auto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kern w:val="0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3629C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9C2"/>
  </w:style>
  <w:style w:type="character" w:styleId="FootnoteReference">
    <w:name w:val="footnote reference"/>
    <w:basedOn w:val="DefaultParagraphFont"/>
    <w:unhideWhenUsed/>
    <w:rsid w:val="003629C2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6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3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A19"/>
    <w:rPr>
      <w:color w:val="0563C1" w:themeColor="hyperlink"/>
      <w:u w:val="single"/>
    </w:rPr>
  </w:style>
  <w:style w:type="character" w:customStyle="1" w:styleId="picturename">
    <w:name w:val="picturename"/>
    <w:basedOn w:val="DefaultParagraphFont"/>
    <w:rsid w:val="00B419CB"/>
  </w:style>
  <w:style w:type="character" w:customStyle="1" w:styleId="FootnoteCharacters">
    <w:name w:val="Footnote Characters"/>
    <w:basedOn w:val="DefaultParagraphFont"/>
    <w:rsid w:val="00B419CB"/>
    <w:rPr>
      <w:vertAlign w:val="superscript"/>
    </w:rPr>
  </w:style>
  <w:style w:type="paragraph" w:styleId="NormalWeb">
    <w:name w:val="Normal (Web)"/>
    <w:basedOn w:val="Normal"/>
    <w:uiPriority w:val="99"/>
    <w:rsid w:val="00B419CB"/>
    <w:pPr>
      <w:suppressAutoHyphens/>
      <w:spacing w:before="280" w:after="280"/>
    </w:pPr>
    <w:rPr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067E21"/>
  </w:style>
  <w:style w:type="character" w:customStyle="1" w:styleId="FooterChar">
    <w:name w:val="Footer Char"/>
    <w:basedOn w:val="DefaultParagraphFont"/>
    <w:link w:val="Footer"/>
    <w:uiPriority w:val="99"/>
    <w:rsid w:val="007A2278"/>
    <w:rPr>
      <w:sz w:val="24"/>
    </w:rPr>
  </w:style>
  <w:style w:type="table" w:styleId="TableGrid">
    <w:name w:val="Table Grid"/>
    <w:basedOn w:val="TableNormal"/>
    <w:uiPriority w:val="39"/>
    <w:rsid w:val="009D093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3B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FollowedHyperlink">
    <w:name w:val="FollowedHyperlink"/>
    <w:basedOn w:val="DefaultParagraphFont"/>
    <w:semiHidden/>
    <w:unhideWhenUsed/>
    <w:rsid w:val="008724B9"/>
    <w:rPr>
      <w:color w:val="954F72" w:themeColor="followedHyperlink"/>
      <w:u w:val="single"/>
    </w:rPr>
  </w:style>
  <w:style w:type="table" w:styleId="ListTable4-Accent3">
    <w:name w:val="List Table 4 Accent 3"/>
    <w:basedOn w:val="TableNormal"/>
    <w:uiPriority w:val="49"/>
    <w:rsid w:val="000E36D2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0E36D2"/>
    <w:rPr>
      <w:i/>
      <w:iCs/>
    </w:rPr>
  </w:style>
  <w:style w:type="character" w:styleId="Strong">
    <w:name w:val="Strong"/>
    <w:basedOn w:val="DefaultParagraphFont"/>
    <w:uiPriority w:val="22"/>
    <w:qFormat/>
    <w:rsid w:val="000E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ildusa.org" TargetMode="External"/><Relationship Id="rId2" Type="http://schemas.openxmlformats.org/officeDocument/2006/relationships/hyperlink" Target="http://WWW.CHILDUSA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190E-A071-49E3-88A4-04F9B44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892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www.childusa.org</vt:lpstr>
    </vt:vector>
  </TitlesOfParts>
  <Company>Home</Company>
  <LinksUpToDate>false</LinksUpToDate>
  <CharactersWithSpaces>1082</CharactersWithSpaces>
  <SharedDoc>false</SharedDoc>
  <HLinks>
    <vt:vector size="12" baseType="variant">
      <vt:variant>
        <vt:i4>4391008</vt:i4>
      </vt:variant>
      <vt:variant>
        <vt:i4>2335</vt:i4>
      </vt:variant>
      <vt:variant>
        <vt:i4>1027</vt:i4>
      </vt:variant>
      <vt:variant>
        <vt:i4>1</vt:i4>
      </vt:variant>
      <vt:variant>
        <vt:lpwstr>2nd page head</vt:lpwstr>
      </vt:variant>
      <vt:variant>
        <vt:lpwstr/>
      </vt:variant>
      <vt:variant>
        <vt:i4>6619185</vt:i4>
      </vt:variant>
      <vt:variant>
        <vt:i4>2369</vt:i4>
      </vt:variant>
      <vt:variant>
        <vt:i4>1026</vt:i4>
      </vt:variant>
      <vt:variant>
        <vt:i4>1</vt:i4>
      </vt:variant>
      <vt:variant>
        <vt:lpwstr>CSL Horiz_7460_K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www.childusa.org</dc:title>
  <dc:subject>3701 Chestnut Street, 6th Floor | Philadelphia, PA 19104 info@childusa.org | 215.539.1906</dc:subject>
  <dc:creator>Administrator</dc:creator>
  <cp:lastModifiedBy>Simone Unwalla</cp:lastModifiedBy>
  <cp:revision>5</cp:revision>
  <cp:lastPrinted>2017-08-15T13:06:00Z</cp:lastPrinted>
  <dcterms:created xsi:type="dcterms:W3CDTF">2020-10-15T18:39:00Z</dcterms:created>
  <dcterms:modified xsi:type="dcterms:W3CDTF">2020-11-13T14:47:00Z</dcterms:modified>
</cp:coreProperties>
</file>